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65" w:type="dxa"/>
        <w:tblInd w:w="-714" w:type="dxa"/>
        <w:tblLook w:val="04A0" w:firstRow="1" w:lastRow="0" w:firstColumn="1" w:lastColumn="0" w:noHBand="0" w:noVBand="1"/>
      </w:tblPr>
      <w:tblGrid>
        <w:gridCol w:w="2544"/>
        <w:gridCol w:w="3575"/>
        <w:gridCol w:w="2096"/>
        <w:gridCol w:w="2096"/>
        <w:gridCol w:w="2164"/>
        <w:gridCol w:w="2190"/>
      </w:tblGrid>
      <w:tr w:rsidR="003D645C" w:rsidRPr="00854ED7" w14:paraId="12E8F44E" w14:textId="77777777" w:rsidTr="0041170C">
        <w:tc>
          <w:tcPr>
            <w:tcW w:w="2544" w:type="dxa"/>
            <w:vMerge w:val="restart"/>
          </w:tcPr>
          <w:p w14:paraId="6E5C0346" w14:textId="77777777" w:rsidR="003D645C" w:rsidRPr="00854ED7" w:rsidRDefault="003D645C" w:rsidP="004B301F">
            <w:pPr>
              <w:jc w:val="center"/>
              <w:rPr>
                <w:rFonts w:ascii="Times New Roman" w:hAnsi="Times New Roman" w:cs="Times New Roman"/>
                <w:b/>
                <w:sz w:val="24"/>
                <w:szCs w:val="24"/>
              </w:rPr>
            </w:pPr>
            <w:r w:rsidRPr="00854ED7">
              <w:rPr>
                <w:rFonts w:ascii="Times New Roman" w:hAnsi="Times New Roman" w:cs="Times New Roman"/>
                <w:b/>
                <w:sz w:val="24"/>
                <w:szCs w:val="24"/>
              </w:rPr>
              <w:t>Số VB-Đơn vị/cơ quan góp ý</w:t>
            </w:r>
          </w:p>
        </w:tc>
        <w:tc>
          <w:tcPr>
            <w:tcW w:w="3575" w:type="dxa"/>
            <w:vMerge w:val="restart"/>
          </w:tcPr>
          <w:p w14:paraId="5AF692D5" w14:textId="77777777" w:rsidR="003D645C" w:rsidRPr="00854ED7" w:rsidRDefault="003D645C" w:rsidP="004B301F">
            <w:pPr>
              <w:jc w:val="center"/>
              <w:rPr>
                <w:rFonts w:ascii="Times New Roman" w:hAnsi="Times New Roman" w:cs="Times New Roman"/>
                <w:b/>
                <w:sz w:val="24"/>
                <w:szCs w:val="24"/>
                <w:lang w:val="en-US"/>
              </w:rPr>
            </w:pPr>
            <w:r w:rsidRPr="00854ED7">
              <w:rPr>
                <w:rFonts w:ascii="Times New Roman" w:hAnsi="Times New Roman" w:cs="Times New Roman"/>
                <w:b/>
                <w:sz w:val="24"/>
                <w:szCs w:val="24"/>
                <w:lang w:val="en-US"/>
              </w:rPr>
              <w:t xml:space="preserve">Nội dung góp ý </w:t>
            </w:r>
          </w:p>
        </w:tc>
        <w:tc>
          <w:tcPr>
            <w:tcW w:w="6356" w:type="dxa"/>
            <w:gridSpan w:val="3"/>
          </w:tcPr>
          <w:p w14:paraId="406BDFB4" w14:textId="77777777" w:rsidR="003D645C" w:rsidRPr="00854ED7" w:rsidRDefault="003D645C" w:rsidP="004B301F">
            <w:pPr>
              <w:jc w:val="center"/>
              <w:rPr>
                <w:rFonts w:ascii="Times New Roman" w:hAnsi="Times New Roman" w:cs="Times New Roman"/>
                <w:b/>
                <w:sz w:val="24"/>
                <w:szCs w:val="24"/>
                <w:lang w:val="en-US"/>
              </w:rPr>
            </w:pPr>
          </w:p>
          <w:p w14:paraId="0571CC91" w14:textId="77777777" w:rsidR="003D645C" w:rsidRPr="00854ED7" w:rsidRDefault="003D645C" w:rsidP="004B301F">
            <w:pPr>
              <w:jc w:val="center"/>
              <w:rPr>
                <w:rFonts w:ascii="Times New Roman" w:hAnsi="Times New Roman" w:cs="Times New Roman"/>
                <w:b/>
                <w:sz w:val="24"/>
                <w:szCs w:val="24"/>
              </w:rPr>
            </w:pPr>
            <w:r w:rsidRPr="00854ED7">
              <w:rPr>
                <w:rFonts w:ascii="Times New Roman" w:hAnsi="Times New Roman" w:cs="Times New Roman"/>
                <w:b/>
                <w:sz w:val="24"/>
                <w:szCs w:val="24"/>
                <w:lang w:val="en-US"/>
              </w:rPr>
              <w:t>Nội dung tiếp thu</w:t>
            </w:r>
          </w:p>
        </w:tc>
        <w:tc>
          <w:tcPr>
            <w:tcW w:w="2190" w:type="dxa"/>
            <w:vMerge w:val="restart"/>
            <w:vAlign w:val="center"/>
          </w:tcPr>
          <w:p w14:paraId="79C197C9" w14:textId="19AC6CF8" w:rsidR="003D645C" w:rsidRPr="0041170C" w:rsidRDefault="0041170C" w:rsidP="0041170C">
            <w:pPr>
              <w:jc w:val="center"/>
              <w:rPr>
                <w:rFonts w:ascii="Times New Roman" w:hAnsi="Times New Roman" w:cs="Times New Roman"/>
                <w:b/>
                <w:sz w:val="24"/>
                <w:szCs w:val="24"/>
                <w:lang w:val="en-US"/>
              </w:rPr>
            </w:pPr>
            <w:r>
              <w:rPr>
                <w:rFonts w:ascii="Times New Roman" w:hAnsi="Times New Roman" w:cs="Times New Roman"/>
                <w:b/>
                <w:sz w:val="24"/>
                <w:szCs w:val="24"/>
                <w:lang w:val="en-US"/>
              </w:rPr>
              <w:t>Ghi chú</w:t>
            </w:r>
          </w:p>
        </w:tc>
      </w:tr>
      <w:tr w:rsidR="003D645C" w:rsidRPr="00854ED7" w14:paraId="633A3E5B" w14:textId="77777777" w:rsidTr="00854ED7">
        <w:tc>
          <w:tcPr>
            <w:tcW w:w="2544" w:type="dxa"/>
            <w:vMerge/>
          </w:tcPr>
          <w:p w14:paraId="0DF11899" w14:textId="77777777" w:rsidR="003D645C" w:rsidRPr="00854ED7" w:rsidRDefault="003D645C" w:rsidP="004B301F">
            <w:pPr>
              <w:jc w:val="center"/>
              <w:rPr>
                <w:rFonts w:ascii="Times New Roman" w:hAnsi="Times New Roman" w:cs="Times New Roman"/>
                <w:b/>
                <w:sz w:val="24"/>
                <w:szCs w:val="24"/>
              </w:rPr>
            </w:pPr>
          </w:p>
        </w:tc>
        <w:tc>
          <w:tcPr>
            <w:tcW w:w="3575" w:type="dxa"/>
            <w:vMerge/>
          </w:tcPr>
          <w:p w14:paraId="75496B43" w14:textId="77777777" w:rsidR="003D645C" w:rsidRPr="00854ED7" w:rsidRDefault="003D645C" w:rsidP="004B301F">
            <w:pPr>
              <w:jc w:val="center"/>
              <w:rPr>
                <w:rFonts w:ascii="Times New Roman" w:hAnsi="Times New Roman" w:cs="Times New Roman"/>
                <w:b/>
                <w:sz w:val="24"/>
                <w:szCs w:val="24"/>
              </w:rPr>
            </w:pPr>
          </w:p>
        </w:tc>
        <w:tc>
          <w:tcPr>
            <w:tcW w:w="2096" w:type="dxa"/>
          </w:tcPr>
          <w:p w14:paraId="1CA4E6B3" w14:textId="77777777" w:rsidR="003D645C" w:rsidRPr="00854ED7" w:rsidRDefault="003D645C" w:rsidP="004B301F">
            <w:pPr>
              <w:jc w:val="center"/>
              <w:rPr>
                <w:rFonts w:ascii="Times New Roman" w:hAnsi="Times New Roman" w:cs="Times New Roman"/>
                <w:b/>
                <w:sz w:val="24"/>
                <w:szCs w:val="24"/>
                <w:lang w:val="en-US"/>
              </w:rPr>
            </w:pPr>
            <w:r w:rsidRPr="00854ED7">
              <w:rPr>
                <w:rFonts w:ascii="Times New Roman" w:hAnsi="Times New Roman" w:cs="Times New Roman"/>
                <w:b/>
                <w:sz w:val="24"/>
                <w:szCs w:val="24"/>
                <w:lang w:val="en-US"/>
              </w:rPr>
              <w:t>Đã thực hiện</w:t>
            </w:r>
          </w:p>
        </w:tc>
        <w:tc>
          <w:tcPr>
            <w:tcW w:w="2096" w:type="dxa"/>
          </w:tcPr>
          <w:p w14:paraId="7D331027" w14:textId="77777777" w:rsidR="003D645C" w:rsidRPr="00854ED7" w:rsidRDefault="003D645C" w:rsidP="004B301F">
            <w:pPr>
              <w:jc w:val="center"/>
              <w:rPr>
                <w:rFonts w:ascii="Times New Roman" w:hAnsi="Times New Roman" w:cs="Times New Roman"/>
                <w:b/>
                <w:sz w:val="24"/>
                <w:szCs w:val="24"/>
                <w:lang w:val="en-US"/>
              </w:rPr>
            </w:pPr>
            <w:r w:rsidRPr="00854ED7">
              <w:rPr>
                <w:rFonts w:ascii="Times New Roman" w:hAnsi="Times New Roman" w:cs="Times New Roman"/>
                <w:b/>
                <w:sz w:val="24"/>
                <w:szCs w:val="24"/>
                <w:lang w:val="en-US"/>
              </w:rPr>
              <w:t>Không tiếp thu</w:t>
            </w:r>
          </w:p>
        </w:tc>
        <w:tc>
          <w:tcPr>
            <w:tcW w:w="2164" w:type="dxa"/>
          </w:tcPr>
          <w:p w14:paraId="2AFFB20A" w14:textId="719DFE4D" w:rsidR="003D645C" w:rsidRPr="00854ED7" w:rsidRDefault="003D645C" w:rsidP="0041170C">
            <w:pPr>
              <w:jc w:val="center"/>
              <w:rPr>
                <w:rFonts w:ascii="Times New Roman" w:hAnsi="Times New Roman" w:cs="Times New Roman"/>
                <w:b/>
                <w:sz w:val="24"/>
                <w:szCs w:val="24"/>
                <w:lang w:val="en-US"/>
              </w:rPr>
            </w:pPr>
            <w:r w:rsidRPr="00854ED7">
              <w:rPr>
                <w:rFonts w:ascii="Times New Roman" w:hAnsi="Times New Roman" w:cs="Times New Roman"/>
                <w:b/>
                <w:sz w:val="24"/>
                <w:szCs w:val="24"/>
                <w:lang w:val="en-US"/>
              </w:rPr>
              <w:t>Giải pháp</w:t>
            </w:r>
            <w:r w:rsidR="00565217">
              <w:rPr>
                <w:rFonts w:ascii="Times New Roman" w:hAnsi="Times New Roman" w:cs="Times New Roman"/>
                <w:b/>
                <w:sz w:val="24"/>
                <w:szCs w:val="24"/>
                <w:lang w:val="en-US"/>
              </w:rPr>
              <w:t>,</w:t>
            </w:r>
            <w:bookmarkStart w:id="0" w:name="_GoBack"/>
            <w:bookmarkEnd w:id="0"/>
            <w:r w:rsidRPr="00854ED7">
              <w:rPr>
                <w:rFonts w:ascii="Times New Roman" w:hAnsi="Times New Roman" w:cs="Times New Roman"/>
                <w:b/>
                <w:sz w:val="24"/>
                <w:szCs w:val="24"/>
                <w:lang w:val="en-US"/>
              </w:rPr>
              <w:t xml:space="preserve"> ý kiến giải trình </w:t>
            </w:r>
            <w:r w:rsidR="0041170C">
              <w:rPr>
                <w:rFonts w:ascii="Times New Roman" w:hAnsi="Times New Roman" w:cs="Times New Roman"/>
                <w:b/>
                <w:sz w:val="24"/>
                <w:szCs w:val="24"/>
                <w:lang w:val="en-US"/>
              </w:rPr>
              <w:t>của Ban Quản lý</w:t>
            </w:r>
          </w:p>
        </w:tc>
        <w:tc>
          <w:tcPr>
            <w:tcW w:w="2190" w:type="dxa"/>
            <w:vMerge/>
          </w:tcPr>
          <w:p w14:paraId="2E5DE580" w14:textId="77777777" w:rsidR="003D645C" w:rsidRPr="00854ED7" w:rsidRDefault="003D645C" w:rsidP="004B301F">
            <w:pPr>
              <w:jc w:val="center"/>
              <w:rPr>
                <w:rFonts w:ascii="Times New Roman" w:hAnsi="Times New Roman" w:cs="Times New Roman"/>
                <w:b/>
                <w:sz w:val="24"/>
                <w:szCs w:val="24"/>
                <w:lang w:val="en-US"/>
              </w:rPr>
            </w:pPr>
          </w:p>
        </w:tc>
      </w:tr>
      <w:tr w:rsidR="003D645C" w:rsidRPr="00854ED7" w14:paraId="56ECE266" w14:textId="77777777" w:rsidTr="00FF2A43">
        <w:tc>
          <w:tcPr>
            <w:tcW w:w="2544" w:type="dxa"/>
          </w:tcPr>
          <w:p w14:paraId="4C77279D" w14:textId="39A925DC" w:rsidR="003D645C" w:rsidRPr="00854ED7" w:rsidRDefault="006D0AAA" w:rsidP="004B301F">
            <w:pPr>
              <w:rPr>
                <w:rFonts w:ascii="Times New Roman" w:hAnsi="Times New Roman" w:cs="Times New Roman"/>
                <w:b/>
                <w:sz w:val="24"/>
                <w:szCs w:val="24"/>
              </w:rPr>
            </w:pPr>
            <w:r w:rsidRPr="00854ED7">
              <w:rPr>
                <w:rFonts w:ascii="Times New Roman" w:hAnsi="Times New Roman" w:cs="Times New Roman"/>
                <w:b/>
                <w:sz w:val="24"/>
                <w:szCs w:val="24"/>
              </w:rPr>
              <w:t xml:space="preserve">CV số </w:t>
            </w:r>
            <w:r w:rsidR="003D645C" w:rsidRPr="00854ED7">
              <w:rPr>
                <w:rFonts w:ascii="Times New Roman" w:hAnsi="Times New Roman" w:cs="Times New Roman"/>
                <w:b/>
                <w:sz w:val="24"/>
                <w:szCs w:val="24"/>
              </w:rPr>
              <w:t>940/MTTQ-BTT ngày 06/5/2026 Mặt trận Tổ quốc</w:t>
            </w:r>
          </w:p>
          <w:p w14:paraId="123783DC" w14:textId="1ABF00F4" w:rsidR="003D645C" w:rsidRPr="00854ED7" w:rsidRDefault="003D645C" w:rsidP="004B301F">
            <w:pPr>
              <w:jc w:val="both"/>
              <w:rPr>
                <w:rFonts w:ascii="Times New Roman" w:hAnsi="Times New Roman" w:cs="Times New Roman"/>
                <w:sz w:val="24"/>
                <w:szCs w:val="24"/>
              </w:rPr>
            </w:pPr>
            <w:r w:rsidRPr="00854ED7">
              <w:rPr>
                <w:rFonts w:ascii="Times New Roman" w:hAnsi="Times New Roman" w:cs="Times New Roman"/>
                <w:sz w:val="24"/>
                <w:szCs w:val="24"/>
              </w:rPr>
              <w:t>V/v góp ý kiến dự thảo Nghị quyết của Hội đồng nhân dân Thành phố quy định về việc không hoàn trả kinh phí bồi thường, giải phóng mặt bằng đối với một số trường hợp giao đất, thuê đất trong Khu Công nghệ cao Thành phố Hồ Chí Minh</w:t>
            </w:r>
          </w:p>
        </w:tc>
        <w:tc>
          <w:tcPr>
            <w:tcW w:w="3575" w:type="dxa"/>
          </w:tcPr>
          <w:p w14:paraId="76CA4FE2" w14:textId="6D0637A7" w:rsidR="003D645C" w:rsidRPr="00854ED7" w:rsidRDefault="006D0AAA" w:rsidP="004B301F">
            <w:pPr>
              <w:spacing w:before="120"/>
              <w:jc w:val="both"/>
              <w:rPr>
                <w:rFonts w:ascii="Times New Roman" w:hAnsi="Times New Roman" w:cs="Times New Roman"/>
                <w:sz w:val="24"/>
                <w:szCs w:val="24"/>
              </w:rPr>
            </w:pPr>
            <w:r w:rsidRPr="00854ED7">
              <w:rPr>
                <w:rFonts w:ascii="Times New Roman" w:hAnsi="Times New Roman" w:cs="Times New Roman"/>
                <w:sz w:val="24"/>
                <w:szCs w:val="24"/>
              </w:rPr>
              <w:t xml:space="preserve">Ban Thường trực Uy ban Mặt trận Tổ quốc Việt Nam Thành phố </w:t>
            </w:r>
            <w:r w:rsidRPr="00854ED7">
              <w:rPr>
                <w:rFonts w:ascii="Times New Roman" w:hAnsi="Times New Roman" w:cs="Times New Roman"/>
                <w:b/>
                <w:bCs/>
                <w:sz w:val="24"/>
                <w:szCs w:val="24"/>
              </w:rPr>
              <w:t xml:space="preserve">đề nghị cần có quy định về quy trình xác nhận nguyện vọng </w:t>
            </w:r>
            <w:r w:rsidRPr="00854ED7">
              <w:rPr>
                <w:rFonts w:ascii="Times New Roman" w:hAnsi="Times New Roman" w:cs="Times New Roman"/>
                <w:sz w:val="24"/>
                <w:szCs w:val="24"/>
              </w:rPr>
              <w:t>không hưởng ưu đãi về miễn, giảm tiền thuê đất đối với người sử dụng đất trả tiền hàng năm và thuộc đối tượng được miễn, giảm tiền thuê đất; đồng thời bổ sung quy định về việc hậu kiểm, giám sát mục đích sử dụng đất sau khi được hưởng chính sách không hoàn trả, nếu người sử dụng đất chuyển đổi sang mục đích kinh doanh sinh lợi thì phải thực hiện hoàn trả đầy đủ kinh phí bồi thường, giải phóng mặt bằng theo giá trị tại thời điểm chuyển đổi để tránh thất thoát ngân sách</w:t>
            </w:r>
            <w:r w:rsidR="003D645C" w:rsidRPr="00854ED7">
              <w:rPr>
                <w:rFonts w:ascii="Times New Roman" w:hAnsi="Times New Roman" w:cs="Times New Roman"/>
                <w:b/>
                <w:sz w:val="24"/>
                <w:szCs w:val="24"/>
              </w:rPr>
              <w:t>.</w:t>
            </w:r>
          </w:p>
        </w:tc>
        <w:tc>
          <w:tcPr>
            <w:tcW w:w="2096" w:type="dxa"/>
          </w:tcPr>
          <w:p w14:paraId="7F44716D" w14:textId="3BB672E8" w:rsidR="003D645C" w:rsidRPr="00FF2A43" w:rsidRDefault="00FF2A43" w:rsidP="004B301F">
            <w:pPr>
              <w:rPr>
                <w:rFonts w:ascii="Times New Roman" w:hAnsi="Times New Roman" w:cs="Times New Roman"/>
                <w:sz w:val="24"/>
                <w:szCs w:val="24"/>
              </w:rPr>
            </w:pPr>
            <w:r w:rsidRPr="00FF2A43">
              <w:rPr>
                <w:rFonts w:ascii="Times New Roman" w:hAnsi="Times New Roman" w:cs="Times New Roman"/>
                <w:sz w:val="24"/>
                <w:szCs w:val="24"/>
              </w:rPr>
              <w:t xml:space="preserve">Ban Quản lý đã rà soát </w:t>
            </w:r>
          </w:p>
        </w:tc>
        <w:tc>
          <w:tcPr>
            <w:tcW w:w="2096" w:type="dxa"/>
          </w:tcPr>
          <w:p w14:paraId="7FC05BD4" w14:textId="77777777" w:rsidR="003D645C" w:rsidRPr="00854ED7" w:rsidRDefault="003D645C" w:rsidP="004B301F">
            <w:pPr>
              <w:rPr>
                <w:rFonts w:ascii="Times New Roman" w:hAnsi="Times New Roman" w:cs="Times New Roman"/>
                <w:sz w:val="24"/>
                <w:szCs w:val="24"/>
              </w:rPr>
            </w:pPr>
          </w:p>
        </w:tc>
        <w:tc>
          <w:tcPr>
            <w:tcW w:w="2164" w:type="dxa"/>
          </w:tcPr>
          <w:p w14:paraId="118FD053" w14:textId="776EB1E3" w:rsidR="003D645C" w:rsidRPr="00FF2A43" w:rsidRDefault="00FF2A43" w:rsidP="00FF2A43">
            <w:pPr>
              <w:spacing w:before="120"/>
              <w:jc w:val="both"/>
              <w:rPr>
                <w:rFonts w:ascii="Times New Roman" w:hAnsi="Times New Roman" w:cs="Times New Roman"/>
                <w:sz w:val="24"/>
                <w:szCs w:val="24"/>
              </w:rPr>
            </w:pPr>
            <w:r w:rsidRPr="00FF2A43">
              <w:rPr>
                <w:rFonts w:ascii="Times New Roman" w:hAnsi="Times New Roman" w:cs="Times New Roman"/>
                <w:sz w:val="24"/>
                <w:szCs w:val="24"/>
              </w:rPr>
              <w:t xml:space="preserve">Vì đây là </w:t>
            </w:r>
            <w:r w:rsidRPr="00D9729E">
              <w:rPr>
                <w:rFonts w:ascii="Times New Roman" w:hAnsi="Times New Roman" w:cs="Times New Roman"/>
                <w:color w:val="212121"/>
                <w:sz w:val="23"/>
                <w:szCs w:val="23"/>
                <w:shd w:val="clear" w:color="auto" w:fill="FFFFFF"/>
              </w:rPr>
              <w:t>Nghị quyết chỉ quy đị</w:t>
            </w:r>
            <w:r>
              <w:rPr>
                <w:rFonts w:ascii="Times New Roman" w:hAnsi="Times New Roman" w:cs="Times New Roman"/>
                <w:color w:val="212121"/>
                <w:sz w:val="23"/>
                <w:szCs w:val="23"/>
                <w:shd w:val="clear" w:color="auto" w:fill="FFFFFF"/>
              </w:rPr>
              <w:t>nh chung</w:t>
            </w:r>
            <w:r w:rsidRPr="00D9729E">
              <w:rPr>
                <w:rFonts w:ascii="Times New Roman" w:hAnsi="Times New Roman" w:cs="Times New Roman"/>
                <w:color w:val="212121"/>
                <w:sz w:val="23"/>
                <w:szCs w:val="23"/>
                <w:shd w:val="clear" w:color="auto" w:fill="FFFFFF"/>
              </w:rPr>
              <w:t xml:space="preserve">. Nghị quyết không chi tiết quy </w:t>
            </w:r>
            <w:r w:rsidRPr="00854ED7">
              <w:rPr>
                <w:rFonts w:ascii="Times New Roman" w:hAnsi="Times New Roman" w:cs="Times New Roman"/>
                <w:b/>
                <w:bCs/>
                <w:sz w:val="24"/>
                <w:szCs w:val="24"/>
              </w:rPr>
              <w:t xml:space="preserve">trình xác nhận nguyện vọng </w:t>
            </w:r>
            <w:r w:rsidRPr="00854ED7">
              <w:rPr>
                <w:rFonts w:ascii="Times New Roman" w:hAnsi="Times New Roman" w:cs="Times New Roman"/>
                <w:sz w:val="24"/>
                <w:szCs w:val="24"/>
              </w:rPr>
              <w:t>không hưởng ưu đãi về miễn, giảm tiền thuê đất đối với người sử dụng đất trả tiền hàng năm và thuộc đối tượng được miễn, giảm tiền thuê đấ</w:t>
            </w:r>
            <w:r>
              <w:rPr>
                <w:rFonts w:ascii="Times New Roman" w:hAnsi="Times New Roman" w:cs="Times New Roman"/>
                <w:sz w:val="24"/>
                <w:szCs w:val="24"/>
              </w:rPr>
              <w:t>t</w:t>
            </w:r>
            <w:r w:rsidRPr="00854ED7">
              <w:rPr>
                <w:rFonts w:ascii="Times New Roman" w:hAnsi="Times New Roman" w:cs="Times New Roman"/>
                <w:sz w:val="24"/>
                <w:szCs w:val="24"/>
              </w:rPr>
              <w:t xml:space="preserve"> </w:t>
            </w:r>
            <w:r w:rsidRPr="00FF2A43">
              <w:rPr>
                <w:rFonts w:ascii="Times New Roman" w:hAnsi="Times New Roman" w:cs="Times New Roman"/>
                <w:sz w:val="24"/>
                <w:szCs w:val="24"/>
              </w:rPr>
              <w:t>và</w:t>
            </w:r>
            <w:r w:rsidRPr="00854ED7">
              <w:rPr>
                <w:rFonts w:ascii="Times New Roman" w:hAnsi="Times New Roman" w:cs="Times New Roman"/>
                <w:sz w:val="24"/>
                <w:szCs w:val="24"/>
              </w:rPr>
              <w:t xml:space="preserve"> quy định về việc hậu kiểm</w:t>
            </w:r>
            <w:r w:rsidRPr="00FF2A43">
              <w:rPr>
                <w:rFonts w:ascii="Times New Roman" w:hAnsi="Times New Roman" w:cs="Times New Roman"/>
                <w:sz w:val="24"/>
                <w:szCs w:val="24"/>
              </w:rPr>
              <w:t>…</w:t>
            </w:r>
          </w:p>
        </w:tc>
        <w:tc>
          <w:tcPr>
            <w:tcW w:w="2190" w:type="dxa"/>
          </w:tcPr>
          <w:p w14:paraId="5537C0D1" w14:textId="6F090E6E" w:rsidR="00D9729E" w:rsidRPr="00D9729E" w:rsidRDefault="00D9729E" w:rsidP="00D9729E">
            <w:pPr>
              <w:jc w:val="both"/>
              <w:rPr>
                <w:rFonts w:ascii="Times New Roman" w:hAnsi="Times New Roman" w:cs="Times New Roman"/>
                <w:sz w:val="24"/>
                <w:szCs w:val="24"/>
              </w:rPr>
            </w:pPr>
          </w:p>
        </w:tc>
      </w:tr>
      <w:tr w:rsidR="00B12103" w:rsidRPr="00854ED7" w14:paraId="297F19CA" w14:textId="77777777" w:rsidTr="00FF2A43">
        <w:tc>
          <w:tcPr>
            <w:tcW w:w="2544" w:type="dxa"/>
          </w:tcPr>
          <w:p w14:paraId="35AD73AE" w14:textId="6047A8AB" w:rsidR="00B12103" w:rsidRPr="00854ED7" w:rsidRDefault="00B12103" w:rsidP="00B12103">
            <w:pPr>
              <w:jc w:val="both"/>
              <w:rPr>
                <w:rFonts w:ascii="Times New Roman" w:hAnsi="Times New Roman" w:cs="Times New Roman"/>
                <w:b/>
                <w:sz w:val="24"/>
                <w:szCs w:val="24"/>
              </w:rPr>
            </w:pPr>
            <w:r w:rsidRPr="00854ED7">
              <w:rPr>
                <w:rFonts w:ascii="Times New Roman" w:hAnsi="Times New Roman" w:cs="Times New Roman"/>
                <w:b/>
                <w:sz w:val="24"/>
                <w:szCs w:val="24"/>
              </w:rPr>
              <w:t xml:space="preserve">CV số 7556/SNV-KTPC ngày 06/5/2026 Của Sở Nội vụ góp ý hồ sơ dự thảo Nghị quyết của Hội đồng nhân dân Thành phố quy định việc không hoàn trả </w:t>
            </w:r>
            <w:r w:rsidRPr="00854ED7">
              <w:rPr>
                <w:rFonts w:ascii="Times New Roman" w:hAnsi="Times New Roman" w:cs="Times New Roman"/>
                <w:b/>
                <w:sz w:val="24"/>
                <w:szCs w:val="24"/>
              </w:rPr>
              <w:lastRenderedPageBreak/>
              <w:t>kinh phí bồi thường, giải phóng mặt bằng đối với một số trường hợp giao đất, thuê đất trong Khu Công nghệ cao Thành phố Hồ Chí Minh.</w:t>
            </w:r>
          </w:p>
        </w:tc>
        <w:tc>
          <w:tcPr>
            <w:tcW w:w="3575" w:type="dxa"/>
          </w:tcPr>
          <w:p w14:paraId="5A3BB373" w14:textId="54688CA1" w:rsidR="00B12103" w:rsidRPr="00854ED7" w:rsidRDefault="00B12103" w:rsidP="00B12103">
            <w:pPr>
              <w:spacing w:before="120"/>
              <w:jc w:val="both"/>
              <w:rPr>
                <w:rFonts w:ascii="Times New Roman" w:hAnsi="Times New Roman" w:cs="Times New Roman"/>
                <w:sz w:val="24"/>
                <w:szCs w:val="24"/>
              </w:rPr>
            </w:pPr>
            <w:r w:rsidRPr="00854ED7">
              <w:rPr>
                <w:rFonts w:ascii="Times New Roman" w:hAnsi="Times New Roman" w:cs="Times New Roman"/>
                <w:sz w:val="24"/>
                <w:szCs w:val="24"/>
              </w:rPr>
              <w:lastRenderedPageBreak/>
              <w:t xml:space="preserve">1. Đối với Dự thảo Tờ trình của Ủy ban nhân dân Thành phố, đề nghị cơ quan soạn thảo xem xét, rà soát, điều chỉnh lỗi chính tả và thể thức văn bản theo quy định tại Nghị định số 30/2020/NĐ-CP ngày 05 tháng </w:t>
            </w:r>
            <w:r w:rsidRPr="00854ED7">
              <w:rPr>
                <w:rFonts w:ascii="Times New Roman" w:hAnsi="Times New Roman" w:cs="Times New Roman"/>
                <w:sz w:val="24"/>
                <w:szCs w:val="24"/>
              </w:rPr>
              <w:lastRenderedPageBreak/>
              <w:t>3 năm 2020 của Chính phủ về công tác văn thư</w:t>
            </w:r>
          </w:p>
        </w:tc>
        <w:tc>
          <w:tcPr>
            <w:tcW w:w="2096" w:type="dxa"/>
          </w:tcPr>
          <w:p w14:paraId="3F60296E" w14:textId="52BF8FF4" w:rsidR="00B12103" w:rsidRPr="00B12103" w:rsidRDefault="00B12103" w:rsidP="00B12103">
            <w:pPr>
              <w:rPr>
                <w:rFonts w:ascii="Times New Roman" w:hAnsi="Times New Roman" w:cs="Times New Roman"/>
                <w:sz w:val="24"/>
                <w:szCs w:val="24"/>
              </w:rPr>
            </w:pPr>
            <w:r w:rsidRPr="00B12103">
              <w:rPr>
                <w:rFonts w:ascii="Times New Roman" w:hAnsi="Times New Roman" w:cs="Times New Roman"/>
                <w:sz w:val="24"/>
                <w:szCs w:val="24"/>
              </w:rPr>
              <w:lastRenderedPageBreak/>
              <w:t>Ban Quản lý đã rà soát thực hiện</w:t>
            </w:r>
          </w:p>
        </w:tc>
        <w:tc>
          <w:tcPr>
            <w:tcW w:w="2096" w:type="dxa"/>
          </w:tcPr>
          <w:p w14:paraId="672234F4" w14:textId="77777777" w:rsidR="00B12103" w:rsidRPr="00854ED7" w:rsidRDefault="00B12103" w:rsidP="00B12103">
            <w:pPr>
              <w:rPr>
                <w:rFonts w:ascii="Times New Roman" w:hAnsi="Times New Roman" w:cs="Times New Roman"/>
                <w:sz w:val="24"/>
                <w:szCs w:val="24"/>
              </w:rPr>
            </w:pPr>
          </w:p>
        </w:tc>
        <w:tc>
          <w:tcPr>
            <w:tcW w:w="2164" w:type="dxa"/>
          </w:tcPr>
          <w:p w14:paraId="69166F93" w14:textId="77777777" w:rsidR="00B12103" w:rsidRPr="00B12103" w:rsidRDefault="00B12103" w:rsidP="00B12103">
            <w:pPr>
              <w:rPr>
                <w:rFonts w:ascii="Times New Roman" w:hAnsi="Times New Roman" w:cs="Times New Roman"/>
                <w:color w:val="000000" w:themeColor="text1"/>
                <w:sz w:val="24"/>
                <w:szCs w:val="24"/>
              </w:rPr>
            </w:pPr>
            <w:r w:rsidRPr="00B12103">
              <w:rPr>
                <w:rFonts w:ascii="Times New Roman" w:hAnsi="Times New Roman" w:cs="Times New Roman"/>
                <w:color w:val="000000" w:themeColor="text1"/>
                <w:sz w:val="24"/>
                <w:szCs w:val="24"/>
              </w:rPr>
              <w:t>- Về lỗi chính tả: BQL đã tiếp thu và khắc phục lỗi.</w:t>
            </w:r>
          </w:p>
          <w:p w14:paraId="1CC33A17" w14:textId="77777777" w:rsidR="00B12103" w:rsidRPr="00B12103" w:rsidRDefault="00B12103" w:rsidP="00B12103">
            <w:pPr>
              <w:rPr>
                <w:rFonts w:ascii="Times New Roman" w:hAnsi="Times New Roman" w:cs="Times New Roman"/>
                <w:color w:val="000000" w:themeColor="text1"/>
                <w:sz w:val="24"/>
                <w:szCs w:val="24"/>
              </w:rPr>
            </w:pPr>
            <w:r w:rsidRPr="00B12103">
              <w:rPr>
                <w:rFonts w:ascii="Times New Roman" w:hAnsi="Times New Roman" w:cs="Times New Roman"/>
                <w:color w:val="000000" w:themeColor="text1"/>
                <w:sz w:val="24"/>
                <w:szCs w:val="24"/>
              </w:rPr>
              <w:t xml:space="preserve">- Về thể thức trình bày: </w:t>
            </w:r>
          </w:p>
          <w:p w14:paraId="0898361D" w14:textId="77777777" w:rsidR="00B12103" w:rsidRPr="00B12103" w:rsidRDefault="00B12103" w:rsidP="00B12103">
            <w:pPr>
              <w:rPr>
                <w:rFonts w:ascii="Times New Roman" w:hAnsi="Times New Roman" w:cs="Times New Roman"/>
                <w:color w:val="000000" w:themeColor="text1"/>
                <w:sz w:val="24"/>
                <w:szCs w:val="24"/>
              </w:rPr>
            </w:pPr>
            <w:r w:rsidRPr="00B12103">
              <w:rPr>
                <w:rFonts w:ascii="Times New Roman" w:hAnsi="Times New Roman" w:cs="Times New Roman"/>
                <w:color w:val="000000" w:themeColor="text1"/>
                <w:sz w:val="24"/>
                <w:szCs w:val="24"/>
              </w:rPr>
              <w:t xml:space="preserve">Dự thảo Nghị quyết </w:t>
            </w:r>
          </w:p>
          <w:p w14:paraId="52609B06" w14:textId="77777777" w:rsidR="00B12103" w:rsidRPr="00B12103" w:rsidRDefault="00B12103" w:rsidP="00B12103">
            <w:pPr>
              <w:jc w:val="both"/>
              <w:rPr>
                <w:rFonts w:ascii="Times New Roman" w:hAnsi="Times New Roman" w:cs="Times New Roman"/>
                <w:color w:val="000000" w:themeColor="text1"/>
                <w:sz w:val="24"/>
                <w:szCs w:val="24"/>
                <w:shd w:val="clear" w:color="auto" w:fill="FFFFFF"/>
              </w:rPr>
            </w:pPr>
            <w:r w:rsidRPr="00B12103">
              <w:rPr>
                <w:rFonts w:ascii="Times New Roman" w:hAnsi="Times New Roman" w:cs="Times New Roman"/>
                <w:color w:val="000000" w:themeColor="text1"/>
                <w:sz w:val="24"/>
                <w:szCs w:val="24"/>
              </w:rPr>
              <w:lastRenderedPageBreak/>
              <w:t xml:space="preserve">quy định việc không hoàn trả kinh phí bồi thường, giải phóng mặt bằng đối với một số trường hợp giao đất, thuê đất trong Khu Công nghệ cao Thành phố Hồ Chí Minh do UBND Thành phố trình HĐND Thành phố ban hành theo trình tự, thủ tục của Luật Ban hành văn bản quy phạm pháp luật; Nghị định số 78/2025/NĐ-CP ngày 01/4/2025 của Chính phủ </w:t>
            </w:r>
            <w:bookmarkStart w:id="1" w:name="loai_1_name"/>
            <w:r w:rsidRPr="00B12103">
              <w:rPr>
                <w:rFonts w:ascii="Times New Roman" w:hAnsi="Times New Roman" w:cs="Times New Roman"/>
                <w:color w:val="000000" w:themeColor="text1"/>
                <w:sz w:val="24"/>
                <w:szCs w:val="24"/>
                <w:shd w:val="clear" w:color="auto" w:fill="FFFFFF"/>
              </w:rPr>
              <w:t>quy định chi tiết một số điều và biện pháp để tổ chức, hướng dẫn thi hành Luật Ban hành văn bản quy phạm pháp luật</w:t>
            </w:r>
            <w:bookmarkEnd w:id="1"/>
            <w:r w:rsidRPr="00B12103">
              <w:rPr>
                <w:rFonts w:ascii="Times New Roman" w:hAnsi="Times New Roman" w:cs="Times New Roman"/>
                <w:color w:val="000000" w:themeColor="text1"/>
                <w:sz w:val="24"/>
                <w:szCs w:val="24"/>
                <w:shd w:val="clear" w:color="auto" w:fill="FFFFFF"/>
              </w:rPr>
              <w:t xml:space="preserve"> (được sửa đổi, bổ sung bởi Nghị định số 187/2025/NĐ-CP), </w:t>
            </w:r>
          </w:p>
          <w:p w14:paraId="5F2820A0" w14:textId="77777777" w:rsidR="00B12103" w:rsidRPr="00B12103" w:rsidRDefault="00B12103" w:rsidP="00B12103">
            <w:pPr>
              <w:jc w:val="both"/>
              <w:rPr>
                <w:rFonts w:ascii="Times New Roman" w:hAnsi="Times New Roman" w:cs="Times New Roman"/>
                <w:color w:val="000000" w:themeColor="text1"/>
                <w:sz w:val="24"/>
                <w:szCs w:val="24"/>
                <w:shd w:val="clear" w:color="auto" w:fill="FFFFFF"/>
              </w:rPr>
            </w:pPr>
            <w:r w:rsidRPr="00B12103">
              <w:rPr>
                <w:rFonts w:ascii="Times New Roman" w:hAnsi="Times New Roman" w:cs="Times New Roman"/>
                <w:color w:val="000000" w:themeColor="text1"/>
                <w:sz w:val="24"/>
                <w:szCs w:val="24"/>
                <w:shd w:val="clear" w:color="auto" w:fill="FFFFFF"/>
              </w:rPr>
              <w:t xml:space="preserve">Do đó, về thể thức của Tờ trình, BQL thực hiện theo mẫu số 02 Phụ lục IV </w:t>
            </w:r>
            <w:r w:rsidRPr="00B12103">
              <w:rPr>
                <w:rFonts w:ascii="Times New Roman" w:hAnsi="Times New Roman" w:cs="Times New Roman"/>
                <w:color w:val="000000" w:themeColor="text1"/>
                <w:sz w:val="24"/>
                <w:szCs w:val="24"/>
                <w:shd w:val="clear" w:color="auto" w:fill="FFFFFF"/>
              </w:rPr>
              <w:lastRenderedPageBreak/>
              <w:t xml:space="preserve">Nghị định 187/2025/NĐ-CP, không thực hiện theo thể thức </w:t>
            </w:r>
            <w:r w:rsidRPr="00B12103">
              <w:rPr>
                <w:rFonts w:ascii="Times New Roman" w:hAnsi="Times New Roman" w:cs="Times New Roman"/>
                <w:color w:val="000000" w:themeColor="text1"/>
                <w:sz w:val="24"/>
                <w:szCs w:val="24"/>
              </w:rPr>
              <w:t>văn bản theo quy định tại Nghị định số 30/2020/NĐ-CP ngày 05 tháng 3 năm 2020 của Chính phủ về công tác văn thư</w:t>
            </w:r>
            <w:r w:rsidRPr="00B12103">
              <w:rPr>
                <w:rFonts w:ascii="Times New Roman" w:hAnsi="Times New Roman" w:cs="Times New Roman"/>
                <w:color w:val="000000" w:themeColor="text1"/>
                <w:sz w:val="24"/>
                <w:szCs w:val="24"/>
                <w:shd w:val="clear" w:color="auto" w:fill="FFFFFF"/>
              </w:rPr>
              <w:t>.</w:t>
            </w:r>
          </w:p>
          <w:p w14:paraId="21788619" w14:textId="77777777" w:rsidR="00B12103" w:rsidRPr="00B12103" w:rsidRDefault="00B12103" w:rsidP="00B12103">
            <w:pPr>
              <w:jc w:val="both"/>
              <w:rPr>
                <w:rFonts w:ascii="Times New Roman" w:hAnsi="Times New Roman" w:cs="Times New Roman"/>
                <w:color w:val="000000" w:themeColor="text1"/>
                <w:sz w:val="24"/>
                <w:szCs w:val="24"/>
              </w:rPr>
            </w:pPr>
            <w:r w:rsidRPr="00B12103">
              <w:rPr>
                <w:rFonts w:ascii="Times New Roman" w:hAnsi="Times New Roman" w:cs="Times New Roman"/>
                <w:color w:val="000000" w:themeColor="text1"/>
                <w:sz w:val="24"/>
                <w:szCs w:val="24"/>
                <w:shd w:val="clear" w:color="auto" w:fill="FFFFFF"/>
              </w:rPr>
              <w:t>Vì vậy, BQL bảo lưu theo thể thức dự thảo Tờ trình đã soạn thảo.</w:t>
            </w:r>
          </w:p>
          <w:p w14:paraId="2656663C" w14:textId="0203F1D1" w:rsidR="00B12103" w:rsidRPr="00854ED7" w:rsidRDefault="00B12103" w:rsidP="00B12103">
            <w:pPr>
              <w:spacing w:before="120"/>
              <w:rPr>
                <w:rFonts w:ascii="Times New Roman" w:hAnsi="Times New Roman" w:cs="Times New Roman"/>
                <w:sz w:val="24"/>
                <w:szCs w:val="24"/>
              </w:rPr>
            </w:pPr>
          </w:p>
        </w:tc>
        <w:tc>
          <w:tcPr>
            <w:tcW w:w="2190" w:type="dxa"/>
          </w:tcPr>
          <w:p w14:paraId="5B9CCD5C" w14:textId="1A0253E4" w:rsidR="00B12103" w:rsidRPr="00854ED7" w:rsidRDefault="00B12103" w:rsidP="00B12103">
            <w:pPr>
              <w:rPr>
                <w:rFonts w:ascii="Times New Roman" w:hAnsi="Times New Roman" w:cs="Times New Roman"/>
                <w:sz w:val="24"/>
                <w:szCs w:val="24"/>
              </w:rPr>
            </w:pPr>
          </w:p>
        </w:tc>
      </w:tr>
      <w:tr w:rsidR="00B12103" w:rsidRPr="00854ED7" w14:paraId="2B1D4333" w14:textId="77777777" w:rsidTr="00854ED7">
        <w:tc>
          <w:tcPr>
            <w:tcW w:w="2544" w:type="dxa"/>
          </w:tcPr>
          <w:p w14:paraId="2A2869BB" w14:textId="77777777" w:rsidR="00B12103" w:rsidRPr="00854ED7" w:rsidRDefault="00B12103" w:rsidP="00B12103">
            <w:pPr>
              <w:rPr>
                <w:rFonts w:ascii="Times New Roman" w:hAnsi="Times New Roman" w:cs="Times New Roman"/>
                <w:b/>
                <w:sz w:val="24"/>
                <w:szCs w:val="24"/>
              </w:rPr>
            </w:pPr>
          </w:p>
        </w:tc>
        <w:tc>
          <w:tcPr>
            <w:tcW w:w="3575" w:type="dxa"/>
          </w:tcPr>
          <w:p w14:paraId="6B6CF0D7" w14:textId="74D0D424" w:rsidR="00B12103" w:rsidRPr="00854ED7" w:rsidRDefault="00B12103" w:rsidP="00B12103">
            <w:pPr>
              <w:spacing w:before="120"/>
              <w:jc w:val="both"/>
              <w:rPr>
                <w:rFonts w:ascii="Times New Roman" w:hAnsi="Times New Roman" w:cs="Times New Roman"/>
                <w:sz w:val="24"/>
                <w:szCs w:val="24"/>
              </w:rPr>
            </w:pPr>
            <w:r w:rsidRPr="00854ED7">
              <w:rPr>
                <w:rFonts w:ascii="Times New Roman" w:hAnsi="Times New Roman" w:cs="Times New Roman"/>
                <w:sz w:val="24"/>
                <w:szCs w:val="24"/>
              </w:rPr>
              <w:t>2. Đối với dự thảo Nghị quyết, đề nghị cơ quan soạn thảo xem xét, nghiên cứu trình bày theo Mẫu số 17. Nghị quyết của Hội đồng nhân dân cấp các cấp (quy định trực tiếp) của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w:t>
            </w:r>
            <w:r w:rsidRPr="00854ED7">
              <w:rPr>
                <w:rFonts w:ascii="Times New Roman" w:hAnsi="Times New Roman" w:cs="Times New Roman"/>
                <w:sz w:val="24"/>
                <w:szCs w:val="24"/>
              </w:rPr>
              <w:lastRenderedPageBreak/>
              <w:t>CP ngày 01 tháng 4 năm 2025 của Chính phủ về kiểm tra, rà soát, hệ thống hóa và xử lý văn bản quy phạm pháp luật.</w:t>
            </w:r>
          </w:p>
        </w:tc>
        <w:tc>
          <w:tcPr>
            <w:tcW w:w="2096" w:type="dxa"/>
          </w:tcPr>
          <w:p w14:paraId="4D605400" w14:textId="7E3EE82A" w:rsidR="00B12103" w:rsidRPr="00854ED7" w:rsidRDefault="00B12103" w:rsidP="00B12103">
            <w:pPr>
              <w:rPr>
                <w:rFonts w:ascii="Times New Roman" w:hAnsi="Times New Roman" w:cs="Times New Roman"/>
                <w:sz w:val="24"/>
                <w:szCs w:val="24"/>
              </w:rPr>
            </w:pPr>
            <w:r w:rsidRPr="00854ED7">
              <w:rPr>
                <w:rFonts w:ascii="Times New Roman" w:hAnsi="Times New Roman" w:cs="Times New Roman"/>
                <w:sz w:val="24"/>
                <w:szCs w:val="24"/>
              </w:rPr>
              <w:lastRenderedPageBreak/>
              <w:t>Ban Quản lý đã rà soát tiếp thu ý kiến và điều chỉnh theo góp ý</w:t>
            </w:r>
          </w:p>
        </w:tc>
        <w:tc>
          <w:tcPr>
            <w:tcW w:w="2096" w:type="dxa"/>
          </w:tcPr>
          <w:p w14:paraId="0383736C" w14:textId="77777777" w:rsidR="00B12103" w:rsidRPr="00854ED7" w:rsidRDefault="00B12103" w:rsidP="00B12103">
            <w:pPr>
              <w:rPr>
                <w:rFonts w:ascii="Times New Roman" w:hAnsi="Times New Roman" w:cs="Times New Roman"/>
                <w:sz w:val="24"/>
                <w:szCs w:val="24"/>
              </w:rPr>
            </w:pPr>
          </w:p>
        </w:tc>
        <w:tc>
          <w:tcPr>
            <w:tcW w:w="2164" w:type="dxa"/>
            <w:vAlign w:val="center"/>
          </w:tcPr>
          <w:p w14:paraId="64EFAD88" w14:textId="77777777" w:rsidR="00B12103" w:rsidRPr="00854ED7" w:rsidRDefault="00B12103" w:rsidP="00B12103">
            <w:pPr>
              <w:spacing w:before="120"/>
              <w:jc w:val="both"/>
              <w:rPr>
                <w:rFonts w:ascii="Times New Roman" w:hAnsi="Times New Roman" w:cs="Times New Roman"/>
                <w:sz w:val="24"/>
                <w:szCs w:val="24"/>
              </w:rPr>
            </w:pPr>
          </w:p>
        </w:tc>
        <w:tc>
          <w:tcPr>
            <w:tcW w:w="2190" w:type="dxa"/>
          </w:tcPr>
          <w:p w14:paraId="59E11631" w14:textId="77777777" w:rsidR="00B12103" w:rsidRPr="00854ED7" w:rsidRDefault="00B12103" w:rsidP="00B12103">
            <w:pPr>
              <w:rPr>
                <w:rFonts w:ascii="Times New Roman" w:hAnsi="Times New Roman" w:cs="Times New Roman"/>
                <w:sz w:val="24"/>
                <w:szCs w:val="24"/>
              </w:rPr>
            </w:pPr>
          </w:p>
        </w:tc>
      </w:tr>
      <w:tr w:rsidR="00B12103" w:rsidRPr="00854ED7" w14:paraId="0C541EB3" w14:textId="77777777" w:rsidTr="00854ED7">
        <w:tc>
          <w:tcPr>
            <w:tcW w:w="2544" w:type="dxa"/>
          </w:tcPr>
          <w:p w14:paraId="0A49A021" w14:textId="77777777" w:rsidR="00B12103" w:rsidRPr="00854ED7" w:rsidRDefault="00B12103" w:rsidP="00B12103">
            <w:pPr>
              <w:rPr>
                <w:rFonts w:ascii="Times New Roman" w:hAnsi="Times New Roman" w:cs="Times New Roman"/>
                <w:b/>
                <w:sz w:val="24"/>
                <w:szCs w:val="24"/>
              </w:rPr>
            </w:pPr>
          </w:p>
        </w:tc>
        <w:tc>
          <w:tcPr>
            <w:tcW w:w="3575" w:type="dxa"/>
          </w:tcPr>
          <w:p w14:paraId="4590DAAB" w14:textId="48C3E56E" w:rsidR="00B12103" w:rsidRPr="00854ED7" w:rsidRDefault="00B12103" w:rsidP="00B12103">
            <w:pPr>
              <w:spacing w:before="120"/>
              <w:jc w:val="both"/>
              <w:rPr>
                <w:rFonts w:ascii="Times New Roman" w:hAnsi="Times New Roman" w:cs="Times New Roman"/>
                <w:sz w:val="24"/>
                <w:szCs w:val="24"/>
              </w:rPr>
            </w:pPr>
            <w:r w:rsidRPr="00854ED7">
              <w:rPr>
                <w:rFonts w:ascii="Times New Roman" w:hAnsi="Times New Roman" w:cs="Times New Roman"/>
                <w:sz w:val="24"/>
                <w:szCs w:val="24"/>
              </w:rPr>
              <w:t>3. Tại Điều 3 dự thảo Nghị quyết: đề nghị cơ quan soạn thảo xem xét, nghiên cứu trình bày theo quy định tại khoản 1 Điều 63 Nghị định số 78/2025/NĐ-CP (sửa đổi, bổ sung bởi Nghị định số 187/2025/NĐ-CP)</w:t>
            </w:r>
          </w:p>
        </w:tc>
        <w:tc>
          <w:tcPr>
            <w:tcW w:w="2096" w:type="dxa"/>
          </w:tcPr>
          <w:p w14:paraId="6121B34D" w14:textId="79EC4225" w:rsidR="00B12103" w:rsidRPr="00854ED7" w:rsidRDefault="00B12103" w:rsidP="00B12103">
            <w:pPr>
              <w:rPr>
                <w:rFonts w:ascii="Times New Roman" w:hAnsi="Times New Roman" w:cs="Times New Roman"/>
                <w:sz w:val="24"/>
                <w:szCs w:val="24"/>
              </w:rPr>
            </w:pPr>
            <w:r w:rsidRPr="00854ED7">
              <w:rPr>
                <w:rFonts w:ascii="Times New Roman" w:hAnsi="Times New Roman" w:cs="Times New Roman"/>
                <w:sz w:val="24"/>
                <w:szCs w:val="24"/>
              </w:rPr>
              <w:t>Ban Quản lý tiếp thu và điều chỉnh</w:t>
            </w:r>
          </w:p>
        </w:tc>
        <w:tc>
          <w:tcPr>
            <w:tcW w:w="2096" w:type="dxa"/>
          </w:tcPr>
          <w:p w14:paraId="64E8815D" w14:textId="77777777" w:rsidR="00B12103" w:rsidRPr="00854ED7" w:rsidRDefault="00B12103" w:rsidP="00B12103">
            <w:pPr>
              <w:rPr>
                <w:rFonts w:ascii="Times New Roman" w:hAnsi="Times New Roman" w:cs="Times New Roman"/>
                <w:sz w:val="24"/>
                <w:szCs w:val="24"/>
              </w:rPr>
            </w:pPr>
          </w:p>
        </w:tc>
        <w:tc>
          <w:tcPr>
            <w:tcW w:w="2164" w:type="dxa"/>
            <w:vAlign w:val="center"/>
          </w:tcPr>
          <w:p w14:paraId="46B7B84F" w14:textId="77777777" w:rsidR="00B12103" w:rsidRPr="00854ED7" w:rsidRDefault="00B12103" w:rsidP="00B12103">
            <w:pPr>
              <w:spacing w:before="120"/>
              <w:jc w:val="both"/>
              <w:rPr>
                <w:rFonts w:ascii="Times New Roman" w:hAnsi="Times New Roman" w:cs="Times New Roman"/>
                <w:sz w:val="24"/>
                <w:szCs w:val="24"/>
              </w:rPr>
            </w:pPr>
          </w:p>
        </w:tc>
        <w:tc>
          <w:tcPr>
            <w:tcW w:w="2190" w:type="dxa"/>
          </w:tcPr>
          <w:p w14:paraId="11267B47" w14:textId="77777777" w:rsidR="00B12103" w:rsidRPr="00854ED7" w:rsidRDefault="00B12103" w:rsidP="00B12103">
            <w:pPr>
              <w:rPr>
                <w:rFonts w:ascii="Times New Roman" w:hAnsi="Times New Roman" w:cs="Times New Roman"/>
                <w:sz w:val="24"/>
                <w:szCs w:val="24"/>
              </w:rPr>
            </w:pPr>
          </w:p>
        </w:tc>
      </w:tr>
      <w:tr w:rsidR="00B12103" w:rsidRPr="00854ED7" w14:paraId="031BCC55" w14:textId="77777777" w:rsidTr="00854ED7">
        <w:tc>
          <w:tcPr>
            <w:tcW w:w="2544" w:type="dxa"/>
          </w:tcPr>
          <w:p w14:paraId="087A1B9C" w14:textId="77777777" w:rsidR="00B12103" w:rsidRPr="00854ED7" w:rsidRDefault="00B12103" w:rsidP="00B12103">
            <w:pPr>
              <w:rPr>
                <w:rFonts w:ascii="Times New Roman" w:hAnsi="Times New Roman" w:cs="Times New Roman"/>
                <w:b/>
                <w:sz w:val="24"/>
                <w:szCs w:val="24"/>
              </w:rPr>
            </w:pPr>
          </w:p>
        </w:tc>
        <w:tc>
          <w:tcPr>
            <w:tcW w:w="3575" w:type="dxa"/>
          </w:tcPr>
          <w:p w14:paraId="4F81F641" w14:textId="4E6E322D" w:rsidR="00B12103" w:rsidRPr="00854ED7" w:rsidRDefault="00B12103" w:rsidP="00B12103">
            <w:pPr>
              <w:spacing w:before="120"/>
              <w:jc w:val="both"/>
              <w:rPr>
                <w:rFonts w:ascii="Times New Roman" w:hAnsi="Times New Roman" w:cs="Times New Roman"/>
                <w:sz w:val="24"/>
                <w:szCs w:val="24"/>
              </w:rPr>
            </w:pPr>
            <w:r w:rsidRPr="00854ED7">
              <w:rPr>
                <w:rFonts w:ascii="Times New Roman" w:hAnsi="Times New Roman" w:cs="Times New Roman"/>
                <w:sz w:val="24"/>
                <w:szCs w:val="24"/>
              </w:rPr>
              <w:t>4. Tại Điều 5 dự thảo Nghị quyết: đề nghị cơ quan soạn thảo xem xét, nghiên cứu trình bày bổ sung thêm nội dung: “2. Thường trực Hội đồng nhân dân, các Ban của Hội đồng nhân dân, các Tổ đại biểu và đại biểu Hội đồng nhân dân Thành phố giám sát chặt chẽ quá trình tổ chức triển khai thực hiện Nghị quyết này”</w:t>
            </w:r>
          </w:p>
        </w:tc>
        <w:tc>
          <w:tcPr>
            <w:tcW w:w="2096" w:type="dxa"/>
          </w:tcPr>
          <w:p w14:paraId="47D0F980" w14:textId="7E81B3D7" w:rsidR="00B12103" w:rsidRPr="00854ED7" w:rsidRDefault="00B12103" w:rsidP="00B12103">
            <w:pPr>
              <w:rPr>
                <w:rFonts w:ascii="Times New Roman" w:hAnsi="Times New Roman" w:cs="Times New Roman"/>
                <w:sz w:val="24"/>
                <w:szCs w:val="24"/>
              </w:rPr>
            </w:pPr>
            <w:r w:rsidRPr="00854ED7">
              <w:rPr>
                <w:rFonts w:ascii="Times New Roman" w:hAnsi="Times New Roman" w:cs="Times New Roman"/>
                <w:sz w:val="24"/>
                <w:szCs w:val="24"/>
              </w:rPr>
              <w:t>Ban Quản lý tiếp thu và điều chỉnh bổ sung khoản 2 vào dự thảo Nghị Quyết.</w:t>
            </w:r>
          </w:p>
        </w:tc>
        <w:tc>
          <w:tcPr>
            <w:tcW w:w="2096" w:type="dxa"/>
          </w:tcPr>
          <w:p w14:paraId="37006DD4" w14:textId="77777777" w:rsidR="00B12103" w:rsidRPr="00854ED7" w:rsidRDefault="00B12103" w:rsidP="00B12103">
            <w:pPr>
              <w:rPr>
                <w:rFonts w:ascii="Times New Roman" w:hAnsi="Times New Roman" w:cs="Times New Roman"/>
                <w:sz w:val="24"/>
                <w:szCs w:val="24"/>
              </w:rPr>
            </w:pPr>
          </w:p>
        </w:tc>
        <w:tc>
          <w:tcPr>
            <w:tcW w:w="2164" w:type="dxa"/>
            <w:vAlign w:val="center"/>
          </w:tcPr>
          <w:p w14:paraId="26823F0D" w14:textId="77777777" w:rsidR="00B12103" w:rsidRPr="00854ED7" w:rsidRDefault="00B12103" w:rsidP="00B12103">
            <w:pPr>
              <w:spacing w:before="120"/>
              <w:jc w:val="both"/>
              <w:rPr>
                <w:rFonts w:ascii="Times New Roman" w:hAnsi="Times New Roman" w:cs="Times New Roman"/>
                <w:sz w:val="24"/>
                <w:szCs w:val="24"/>
              </w:rPr>
            </w:pPr>
          </w:p>
        </w:tc>
        <w:tc>
          <w:tcPr>
            <w:tcW w:w="2190" w:type="dxa"/>
          </w:tcPr>
          <w:p w14:paraId="6DB991D0" w14:textId="77777777" w:rsidR="00B12103" w:rsidRPr="00854ED7" w:rsidRDefault="00B12103" w:rsidP="00B12103">
            <w:pPr>
              <w:rPr>
                <w:rFonts w:ascii="Times New Roman" w:hAnsi="Times New Roman" w:cs="Times New Roman"/>
                <w:sz w:val="24"/>
                <w:szCs w:val="24"/>
              </w:rPr>
            </w:pPr>
          </w:p>
        </w:tc>
      </w:tr>
      <w:tr w:rsidR="00B12103" w:rsidRPr="00854ED7" w14:paraId="11B4E643" w14:textId="77777777" w:rsidTr="00854ED7">
        <w:tc>
          <w:tcPr>
            <w:tcW w:w="2544" w:type="dxa"/>
          </w:tcPr>
          <w:p w14:paraId="7E6A43E3" w14:textId="77777777" w:rsidR="00B12103" w:rsidRPr="00854ED7" w:rsidRDefault="00B12103" w:rsidP="00B12103">
            <w:pPr>
              <w:jc w:val="both"/>
              <w:rPr>
                <w:rFonts w:ascii="Times New Roman" w:hAnsi="Times New Roman" w:cs="Times New Roman"/>
                <w:b/>
                <w:sz w:val="24"/>
                <w:szCs w:val="24"/>
              </w:rPr>
            </w:pPr>
            <w:r w:rsidRPr="00854ED7">
              <w:rPr>
                <w:rFonts w:ascii="Times New Roman" w:hAnsi="Times New Roman" w:cs="Times New Roman"/>
                <w:b/>
                <w:sz w:val="24"/>
                <w:szCs w:val="24"/>
              </w:rPr>
              <w:t>CV số 4127/SKHCN-KTPC ngày 08/5/2026 của Sở Khoa học và Công nghệ</w:t>
            </w:r>
          </w:p>
          <w:p w14:paraId="362AC6D4" w14:textId="08ECC5BB" w:rsidR="00B12103" w:rsidRPr="00854ED7" w:rsidRDefault="00B12103" w:rsidP="00B12103">
            <w:pPr>
              <w:jc w:val="both"/>
              <w:rPr>
                <w:rFonts w:ascii="Times New Roman" w:hAnsi="Times New Roman" w:cs="Times New Roman"/>
                <w:b/>
                <w:sz w:val="24"/>
                <w:szCs w:val="24"/>
              </w:rPr>
            </w:pPr>
            <w:r w:rsidRPr="00854ED7">
              <w:rPr>
                <w:rFonts w:ascii="Times New Roman" w:hAnsi="Times New Roman" w:cs="Times New Roman"/>
                <w:b/>
                <w:sz w:val="24"/>
                <w:szCs w:val="24"/>
              </w:rPr>
              <w:t xml:space="preserve"> </w:t>
            </w:r>
            <w:r w:rsidRPr="00854ED7">
              <w:rPr>
                <w:rFonts w:ascii="Times New Roman" w:hAnsi="Times New Roman" w:cs="Times New Roman"/>
                <w:sz w:val="24"/>
                <w:szCs w:val="24"/>
              </w:rPr>
              <w:t xml:space="preserve">V/v góp ý kiến dự thảo Nghị quyết của Hội đồng nhân dân Thành phố quy định về việc không hoàn trả kinh phí bồi thường, giải phóng </w:t>
            </w:r>
            <w:r w:rsidRPr="00854ED7">
              <w:rPr>
                <w:rFonts w:ascii="Times New Roman" w:hAnsi="Times New Roman" w:cs="Times New Roman"/>
                <w:sz w:val="24"/>
                <w:szCs w:val="24"/>
              </w:rPr>
              <w:lastRenderedPageBreak/>
              <w:t>mặt bằng đối với một số trường hợp giao đất, thuê đất trong Khu Công nghệ cao Thành phố Hồ Chí Minh</w:t>
            </w:r>
          </w:p>
        </w:tc>
        <w:tc>
          <w:tcPr>
            <w:tcW w:w="3575" w:type="dxa"/>
          </w:tcPr>
          <w:p w14:paraId="221A7122" w14:textId="72BE67E9" w:rsidR="00B12103" w:rsidRPr="00854ED7" w:rsidRDefault="00B12103" w:rsidP="00B12103">
            <w:pPr>
              <w:pStyle w:val="ListParagraph"/>
              <w:numPr>
                <w:ilvl w:val="0"/>
                <w:numId w:val="1"/>
              </w:numPr>
              <w:spacing w:before="120"/>
              <w:ind w:left="0" w:firstLine="127"/>
              <w:jc w:val="both"/>
              <w:rPr>
                <w:rFonts w:ascii="Times New Roman" w:hAnsi="Times New Roman" w:cs="Times New Roman"/>
                <w:lang w:val="vi-VN"/>
              </w:rPr>
            </w:pPr>
            <w:r w:rsidRPr="00854ED7">
              <w:rPr>
                <w:rFonts w:ascii="Times New Roman" w:hAnsi="Times New Roman" w:cs="Times New Roman"/>
                <w:lang w:val="vi-VN"/>
              </w:rPr>
              <w:lastRenderedPageBreak/>
              <w:t xml:space="preserve">Tại dự thảo hồ sơ của Ban Quản lý khu Công nghệ cao Thành phố chưa đề cập đến việc dự thảo Nghị quyết có nội dung liên quan đến ứng dụng, thúc đẩy phát triển khoa học, công nghệ, đổi mới sáng tạo và chuyển đổi số; dự thảo hồ sơ không có Bản đánh giá thủ tục hành chính, việc phân cấp, thực hiện </w:t>
            </w:r>
            <w:r w:rsidRPr="00854ED7">
              <w:rPr>
                <w:rFonts w:ascii="Times New Roman" w:hAnsi="Times New Roman" w:cs="Times New Roman"/>
                <w:lang w:val="vi-VN"/>
              </w:rPr>
              <w:lastRenderedPageBreak/>
              <w:t>nhiệm vụ, quyền hạn được phân cấp, việc ứng dụng, thúc đẩy phát triển khoa học, công nghệ, đổi mới sáng tạo và chuyển đổi số đính kèm. Do đó, Sở Khoa học và Công nghệ chưa có cơ sở có ý kiến đối với nội dung này. Trường hợp, Ban Quản lý khu Công nghệ cao Thành phố xác định dự thảo Nghị quyết có quy định nội dung liên quan đến ứng dụng, thúc đẩy phát triển khoa học, công nghệ, đổi mới sáng tạo và chuyển đổi số, đề nghị Ban Quản lý khu Công nghệ cao Thành phố bổ sung Bản đánh giá theo mẫu số 06-Phụ lục IV ban hành kèm theo Nghị định số 187/2025/NĐ-CP.</w:t>
            </w:r>
          </w:p>
        </w:tc>
        <w:tc>
          <w:tcPr>
            <w:tcW w:w="2096" w:type="dxa"/>
          </w:tcPr>
          <w:p w14:paraId="6B72EF14" w14:textId="34471CDA" w:rsidR="00B12103" w:rsidRPr="00854ED7" w:rsidRDefault="00B12103" w:rsidP="00B12103">
            <w:pPr>
              <w:rPr>
                <w:rFonts w:ascii="Times New Roman" w:hAnsi="Times New Roman" w:cs="Times New Roman"/>
                <w:sz w:val="24"/>
                <w:szCs w:val="24"/>
              </w:rPr>
            </w:pPr>
            <w:r w:rsidRPr="00854ED7">
              <w:rPr>
                <w:rFonts w:ascii="Times New Roman" w:hAnsi="Times New Roman" w:cs="Times New Roman"/>
                <w:sz w:val="24"/>
                <w:szCs w:val="24"/>
              </w:rPr>
              <w:lastRenderedPageBreak/>
              <w:t>Ban Quản lý đã rà soát tiếp thu</w:t>
            </w:r>
          </w:p>
        </w:tc>
        <w:tc>
          <w:tcPr>
            <w:tcW w:w="2096" w:type="dxa"/>
          </w:tcPr>
          <w:p w14:paraId="334AC847" w14:textId="77777777" w:rsidR="00B12103" w:rsidRPr="00854ED7" w:rsidRDefault="00B12103" w:rsidP="00B12103">
            <w:pPr>
              <w:rPr>
                <w:rFonts w:ascii="Times New Roman" w:hAnsi="Times New Roman" w:cs="Times New Roman"/>
                <w:sz w:val="24"/>
                <w:szCs w:val="24"/>
              </w:rPr>
            </w:pPr>
          </w:p>
        </w:tc>
        <w:tc>
          <w:tcPr>
            <w:tcW w:w="2164" w:type="dxa"/>
            <w:vAlign w:val="center"/>
          </w:tcPr>
          <w:p w14:paraId="56F228EE" w14:textId="6D0DD0EA" w:rsidR="00B12103" w:rsidRPr="00854ED7" w:rsidRDefault="00B12103" w:rsidP="00B12103">
            <w:pPr>
              <w:jc w:val="both"/>
              <w:rPr>
                <w:rFonts w:ascii="Times New Roman" w:hAnsi="Times New Roman" w:cs="Times New Roman"/>
                <w:sz w:val="24"/>
                <w:szCs w:val="24"/>
              </w:rPr>
            </w:pPr>
            <w:r w:rsidRPr="00854ED7">
              <w:rPr>
                <w:rFonts w:ascii="Times New Roman" w:hAnsi="Times New Roman" w:cs="Times New Roman"/>
                <w:sz w:val="24"/>
                <w:szCs w:val="24"/>
              </w:rPr>
              <w:t xml:space="preserve">Tuy nhiên, Dự thảo Nghị quyết chỉ quy định về chính sách tài chính - đất đai (miễn hoàn trả kinh phí bồi thường), không quy định các nội dung trực tiếp liên quan đến ứng dụng, thúc đẩy khoa </w:t>
            </w:r>
            <w:r w:rsidRPr="00854ED7">
              <w:rPr>
                <w:rFonts w:ascii="Times New Roman" w:hAnsi="Times New Roman" w:cs="Times New Roman"/>
                <w:sz w:val="24"/>
                <w:szCs w:val="24"/>
              </w:rPr>
              <w:lastRenderedPageBreak/>
              <w:t>học công nghệ. Do đó, hồ sơ không thuộc đối tượng phải lập Bản đánh giá theo Mẫu số 06 Phụ lục IV Nghị định 187/2025/NĐ-CP.</w:t>
            </w:r>
          </w:p>
        </w:tc>
        <w:tc>
          <w:tcPr>
            <w:tcW w:w="2190" w:type="dxa"/>
          </w:tcPr>
          <w:p w14:paraId="231903D6" w14:textId="77777777" w:rsidR="00B12103" w:rsidRPr="00854ED7" w:rsidRDefault="00B12103" w:rsidP="00B12103">
            <w:pPr>
              <w:rPr>
                <w:rFonts w:ascii="Times New Roman" w:hAnsi="Times New Roman" w:cs="Times New Roman"/>
                <w:sz w:val="24"/>
                <w:szCs w:val="24"/>
              </w:rPr>
            </w:pPr>
          </w:p>
        </w:tc>
      </w:tr>
      <w:tr w:rsidR="00B12103" w:rsidRPr="00854ED7" w14:paraId="3931267D" w14:textId="77777777" w:rsidTr="00854ED7">
        <w:tc>
          <w:tcPr>
            <w:tcW w:w="2544" w:type="dxa"/>
          </w:tcPr>
          <w:p w14:paraId="0B5E1935" w14:textId="77777777" w:rsidR="00B12103" w:rsidRPr="00854ED7" w:rsidRDefault="00B12103" w:rsidP="00B12103">
            <w:pPr>
              <w:rPr>
                <w:rFonts w:ascii="Times New Roman" w:hAnsi="Times New Roman" w:cs="Times New Roman"/>
                <w:b/>
                <w:sz w:val="24"/>
                <w:szCs w:val="24"/>
              </w:rPr>
            </w:pPr>
          </w:p>
        </w:tc>
        <w:tc>
          <w:tcPr>
            <w:tcW w:w="3575" w:type="dxa"/>
          </w:tcPr>
          <w:p w14:paraId="33F9C173" w14:textId="140D7DE8" w:rsidR="00B12103" w:rsidRPr="00854ED7" w:rsidRDefault="00B12103" w:rsidP="00B12103">
            <w:pPr>
              <w:pStyle w:val="ListParagraph"/>
              <w:spacing w:before="120"/>
              <w:ind w:left="-53"/>
              <w:jc w:val="both"/>
              <w:rPr>
                <w:rFonts w:ascii="Times New Roman" w:hAnsi="Times New Roman" w:cs="Times New Roman"/>
                <w:lang w:val="vi-VN"/>
              </w:rPr>
            </w:pPr>
            <w:r w:rsidRPr="00854ED7">
              <w:rPr>
                <w:rFonts w:ascii="Times New Roman" w:hAnsi="Times New Roman" w:cs="Times New Roman"/>
                <w:lang w:val="vi-VN"/>
              </w:rPr>
              <w:t xml:space="preserve">2. Việc phân tích, đánh giá, cơ sở tham mưu đề xuất hồ sơ xây dựng Nghị quyết của Hội đồng nhân dân Thành phố quy định việc không hoàn trả kinh phí bồi thường, giải phóng mặt bằng đối với một số trường hợp giao đất, thuê đất trong Khu Công nghệ cao Thành phố Hồ Chí Minh thuộc chức năng quản lý chuyên ngành của Ban Quản lý khu Công nghệ cao Thành phố. Do đó, </w:t>
            </w:r>
            <w:r w:rsidRPr="00854ED7">
              <w:rPr>
                <w:rFonts w:ascii="Times New Roman" w:hAnsi="Times New Roman" w:cs="Times New Roman"/>
                <w:lang w:val="vi-VN"/>
              </w:rPr>
              <w:lastRenderedPageBreak/>
              <w:t>đề nghị Ban Quản lý khu Công nghệ cao Thành phố phối hợp với các cơ quan liên quan tham mưu, đề xuất đảm bảo phù hợp với tình hình thực tiễn của Thành phố và các quy định pháp luật hiện hành.</w:t>
            </w:r>
          </w:p>
        </w:tc>
        <w:tc>
          <w:tcPr>
            <w:tcW w:w="2096" w:type="dxa"/>
          </w:tcPr>
          <w:p w14:paraId="0F7F1F4A" w14:textId="0C6F1881" w:rsidR="00B12103" w:rsidRPr="00854ED7" w:rsidRDefault="00B12103" w:rsidP="00B12103">
            <w:pPr>
              <w:jc w:val="both"/>
              <w:rPr>
                <w:rFonts w:ascii="Times New Roman" w:hAnsi="Times New Roman" w:cs="Times New Roman"/>
                <w:sz w:val="24"/>
                <w:szCs w:val="24"/>
              </w:rPr>
            </w:pPr>
            <w:r w:rsidRPr="00854ED7">
              <w:rPr>
                <w:rFonts w:ascii="Times New Roman" w:hAnsi="Times New Roman" w:cs="Times New Roman"/>
                <w:sz w:val="24"/>
                <w:szCs w:val="24"/>
              </w:rPr>
              <w:lastRenderedPageBreak/>
              <w:t>Ban Quản lý đã có Công văn số 770/KCNCp-TCT ngày 29/4/2026 để lấy ý kiế</w:t>
            </w:r>
            <w:r>
              <w:rPr>
                <w:rFonts w:ascii="Times New Roman" w:hAnsi="Times New Roman" w:cs="Times New Roman"/>
                <w:sz w:val="24"/>
                <w:szCs w:val="24"/>
              </w:rPr>
              <w:t>n các đơ</w:t>
            </w:r>
            <w:r w:rsidRPr="00854ED7">
              <w:rPr>
                <w:rFonts w:ascii="Times New Roman" w:hAnsi="Times New Roman" w:cs="Times New Roman"/>
                <w:sz w:val="24"/>
                <w:szCs w:val="24"/>
              </w:rPr>
              <w:t>n vị liên quan</w:t>
            </w:r>
          </w:p>
        </w:tc>
        <w:tc>
          <w:tcPr>
            <w:tcW w:w="2096" w:type="dxa"/>
          </w:tcPr>
          <w:p w14:paraId="1AE00A70" w14:textId="77777777" w:rsidR="00B12103" w:rsidRPr="00854ED7" w:rsidRDefault="00B12103" w:rsidP="00B12103">
            <w:pPr>
              <w:rPr>
                <w:rFonts w:ascii="Times New Roman" w:hAnsi="Times New Roman" w:cs="Times New Roman"/>
                <w:sz w:val="24"/>
                <w:szCs w:val="24"/>
              </w:rPr>
            </w:pPr>
          </w:p>
        </w:tc>
        <w:tc>
          <w:tcPr>
            <w:tcW w:w="2164" w:type="dxa"/>
            <w:vAlign w:val="center"/>
          </w:tcPr>
          <w:p w14:paraId="1FFD3924" w14:textId="77777777" w:rsidR="00B12103" w:rsidRPr="00854ED7" w:rsidRDefault="00B12103" w:rsidP="00B12103">
            <w:pPr>
              <w:spacing w:before="120"/>
              <w:jc w:val="both"/>
              <w:rPr>
                <w:rFonts w:ascii="Times New Roman" w:hAnsi="Times New Roman" w:cs="Times New Roman"/>
                <w:sz w:val="24"/>
                <w:szCs w:val="24"/>
              </w:rPr>
            </w:pPr>
          </w:p>
        </w:tc>
        <w:tc>
          <w:tcPr>
            <w:tcW w:w="2190" w:type="dxa"/>
          </w:tcPr>
          <w:p w14:paraId="5085D45F" w14:textId="77777777" w:rsidR="00B12103" w:rsidRPr="00854ED7" w:rsidRDefault="00B12103" w:rsidP="00B12103">
            <w:pPr>
              <w:rPr>
                <w:rFonts w:ascii="Times New Roman" w:hAnsi="Times New Roman" w:cs="Times New Roman"/>
                <w:sz w:val="24"/>
                <w:szCs w:val="24"/>
              </w:rPr>
            </w:pPr>
          </w:p>
        </w:tc>
      </w:tr>
      <w:tr w:rsidR="00B12103" w:rsidRPr="00854ED7" w14:paraId="10497602" w14:textId="77777777" w:rsidTr="006B51DD">
        <w:tc>
          <w:tcPr>
            <w:tcW w:w="2544" w:type="dxa"/>
          </w:tcPr>
          <w:p w14:paraId="0FCC5486" w14:textId="77777777" w:rsidR="00B12103" w:rsidRDefault="00B12103" w:rsidP="00B12103">
            <w:pPr>
              <w:widowControl w:val="0"/>
              <w:ind w:right="135"/>
              <w:jc w:val="both"/>
              <w:rPr>
                <w:rFonts w:ascii="Times New Roman" w:hAnsi="Times New Roman"/>
                <w:sz w:val="24"/>
                <w:szCs w:val="24"/>
              </w:rPr>
            </w:pPr>
            <w:r w:rsidRPr="00EF1512">
              <w:rPr>
                <w:rFonts w:ascii="Times New Roman" w:hAnsi="Times New Roman" w:cs="Times New Roman"/>
                <w:b/>
                <w:sz w:val="24"/>
                <w:szCs w:val="24"/>
              </w:rPr>
              <w:lastRenderedPageBreak/>
              <w:t xml:space="preserve">CV số 5241/STP-VB ngày 14/5/2026 của Sở Tư pháp về </w:t>
            </w:r>
            <w:r w:rsidRPr="006A1932">
              <w:rPr>
                <w:rFonts w:ascii="Times New Roman" w:hAnsi="Times New Roman"/>
                <w:sz w:val="24"/>
                <w:szCs w:val="24"/>
              </w:rPr>
              <w:t xml:space="preserve">góp ý hồ sơ dự thảo </w:t>
            </w:r>
            <w:bookmarkStart w:id="2" w:name="_Hlk212966625"/>
            <w:r w:rsidRPr="006A1932">
              <w:rPr>
                <w:rFonts w:ascii="Times New Roman" w:hAnsi="Times New Roman"/>
                <w:sz w:val="24"/>
                <w:szCs w:val="24"/>
              </w:rPr>
              <w:t xml:space="preserve">Nghị quyết của Hội đồng nhân dân Thành phố </w:t>
            </w:r>
            <w:bookmarkEnd w:id="2"/>
            <w:r w:rsidRPr="006A1932">
              <w:rPr>
                <w:rFonts w:ascii="Times New Roman" w:hAnsi="Times New Roman"/>
                <w:sz w:val="24"/>
                <w:szCs w:val="24"/>
              </w:rPr>
              <w:t xml:space="preserve">quy định việc không hoàn trả kinh phí bồi thường, giải phóng mặt bằng đối với một số trường hợp giao đất, thuê đất trong Khu Công nghệ cao Thành phố </w:t>
            </w:r>
          </w:p>
          <w:p w14:paraId="3C1AFB2D" w14:textId="2CD3506E" w:rsidR="00B12103" w:rsidRPr="00EF1512" w:rsidRDefault="00B12103" w:rsidP="00B12103">
            <w:pPr>
              <w:jc w:val="both"/>
              <w:rPr>
                <w:rFonts w:ascii="Times New Roman" w:hAnsi="Times New Roman" w:cs="Times New Roman"/>
                <w:b/>
                <w:sz w:val="24"/>
                <w:szCs w:val="24"/>
              </w:rPr>
            </w:pPr>
            <w:r w:rsidRPr="006A1932">
              <w:rPr>
                <w:rFonts w:ascii="Times New Roman" w:hAnsi="Times New Roman"/>
                <w:sz w:val="24"/>
                <w:szCs w:val="24"/>
              </w:rPr>
              <w:t>Hồ Chí Minh (lần 2)</w:t>
            </w:r>
          </w:p>
        </w:tc>
        <w:tc>
          <w:tcPr>
            <w:tcW w:w="3575" w:type="dxa"/>
          </w:tcPr>
          <w:p w14:paraId="5F42A120" w14:textId="3D5FFACA" w:rsidR="00B12103" w:rsidRPr="00C30DC6" w:rsidRDefault="00B12103" w:rsidP="00B12103">
            <w:pPr>
              <w:spacing w:before="120" w:after="120"/>
              <w:ind w:firstLine="36"/>
              <w:jc w:val="both"/>
              <w:rPr>
                <w:rFonts w:ascii="Times New Roman" w:hAnsi="Times New Roman"/>
                <w:sz w:val="24"/>
                <w:szCs w:val="24"/>
              </w:rPr>
            </w:pPr>
            <w:r>
              <w:rPr>
                <w:rFonts w:ascii="Times New Roman" w:hAnsi="Times New Roman" w:cs="Times New Roman"/>
              </w:rPr>
              <w:t xml:space="preserve">1. </w:t>
            </w:r>
            <w:r w:rsidR="00C30DC6" w:rsidRPr="00C30DC6">
              <w:rPr>
                <w:rFonts w:ascii="Times New Roman" w:hAnsi="Times New Roman"/>
                <w:bCs/>
                <w:sz w:val="24"/>
                <w:szCs w:val="24"/>
              </w:rPr>
              <w:t>Đ</w:t>
            </w:r>
            <w:r w:rsidRPr="00C30DC6">
              <w:rPr>
                <w:rFonts w:ascii="Times New Roman" w:hAnsi="Times New Roman"/>
                <w:bCs/>
                <w:sz w:val="24"/>
                <w:szCs w:val="24"/>
              </w:rPr>
              <w:t xml:space="preserve">ề nghị Ban Quản lý </w:t>
            </w:r>
            <w:r w:rsidRPr="00C30DC6">
              <w:rPr>
                <w:rFonts w:ascii="Times New Roman" w:hAnsi="Times New Roman"/>
                <w:bCs/>
                <w:iCs/>
                <w:sz w:val="24"/>
                <w:szCs w:val="24"/>
              </w:rPr>
              <w:t>Khu Công nghệ cao Thành phố bổ sung thuyết minh rõ trong Bảng so sánh, thuyết minh dự thảo Nghị quyết cơ sở pháp lý, cơ sở thực tiễn của việc đề xuất các trường hợp không phải hoàn trả ngân sách nhà nước kinh phí bồi thường, giải phóng mặt bằng đã được Nhà nước bố trí từ ngân sách nhà nước trong Khu công nghệ cao đang đề xuất quy định tại Điều 3 dự thảo hiện nay.</w:t>
            </w:r>
          </w:p>
          <w:p w14:paraId="7222B547" w14:textId="12DBBBB5" w:rsidR="00B12103" w:rsidRPr="00EF1512" w:rsidRDefault="00B12103" w:rsidP="00B12103">
            <w:pPr>
              <w:pStyle w:val="ListParagraph"/>
              <w:spacing w:before="120"/>
              <w:ind w:left="-53"/>
              <w:jc w:val="both"/>
              <w:rPr>
                <w:rFonts w:ascii="Times New Roman" w:hAnsi="Times New Roman" w:cs="Times New Roman"/>
                <w:lang w:val="vi-VN"/>
              </w:rPr>
            </w:pPr>
          </w:p>
        </w:tc>
        <w:tc>
          <w:tcPr>
            <w:tcW w:w="2096" w:type="dxa"/>
          </w:tcPr>
          <w:p w14:paraId="38914D05" w14:textId="7673586C" w:rsidR="00B12103" w:rsidRPr="00173FDB" w:rsidRDefault="00B12103" w:rsidP="00B12103">
            <w:pPr>
              <w:jc w:val="both"/>
              <w:rPr>
                <w:rFonts w:ascii="Times New Roman" w:hAnsi="Times New Roman" w:cs="Times New Roman"/>
                <w:sz w:val="24"/>
                <w:szCs w:val="24"/>
              </w:rPr>
            </w:pPr>
            <w:r w:rsidRPr="00173FDB">
              <w:rPr>
                <w:rFonts w:ascii="Times New Roman" w:hAnsi="Times New Roman" w:cs="Times New Roman"/>
                <w:sz w:val="24"/>
                <w:szCs w:val="24"/>
              </w:rPr>
              <w:t xml:space="preserve">Ban Quản lý tiếp thu và bổ sung cơ sở thực tiễn vào bảng So sánh </w:t>
            </w:r>
          </w:p>
        </w:tc>
        <w:tc>
          <w:tcPr>
            <w:tcW w:w="2096" w:type="dxa"/>
          </w:tcPr>
          <w:p w14:paraId="394485C5" w14:textId="77777777" w:rsidR="00B12103" w:rsidRPr="00854ED7" w:rsidRDefault="00B12103" w:rsidP="00B12103">
            <w:pPr>
              <w:jc w:val="both"/>
              <w:rPr>
                <w:rFonts w:ascii="Times New Roman" w:hAnsi="Times New Roman" w:cs="Times New Roman"/>
                <w:sz w:val="24"/>
                <w:szCs w:val="24"/>
              </w:rPr>
            </w:pPr>
          </w:p>
        </w:tc>
        <w:tc>
          <w:tcPr>
            <w:tcW w:w="2164" w:type="dxa"/>
          </w:tcPr>
          <w:p w14:paraId="14CC9EF3" w14:textId="511FA114" w:rsidR="00B12103" w:rsidRPr="00173FDB" w:rsidRDefault="00B12103" w:rsidP="00B12103">
            <w:pPr>
              <w:spacing w:before="120"/>
              <w:rPr>
                <w:rFonts w:ascii="Times New Roman" w:hAnsi="Times New Roman" w:cs="Times New Roman"/>
                <w:sz w:val="24"/>
                <w:szCs w:val="24"/>
              </w:rPr>
            </w:pPr>
            <w:r w:rsidRPr="00173FDB">
              <w:rPr>
                <w:rFonts w:ascii="Times New Roman" w:hAnsi="Times New Roman" w:cs="Times New Roman"/>
                <w:sz w:val="24"/>
                <w:szCs w:val="24"/>
              </w:rPr>
              <w:t xml:space="preserve">Ban Quản lý đã thực hiện </w:t>
            </w:r>
          </w:p>
        </w:tc>
        <w:tc>
          <w:tcPr>
            <w:tcW w:w="2190" w:type="dxa"/>
          </w:tcPr>
          <w:p w14:paraId="08FA9597" w14:textId="77777777" w:rsidR="00B12103" w:rsidRPr="00854ED7" w:rsidRDefault="00B12103" w:rsidP="00B12103">
            <w:pPr>
              <w:jc w:val="both"/>
              <w:rPr>
                <w:rFonts w:ascii="Times New Roman" w:hAnsi="Times New Roman" w:cs="Times New Roman"/>
                <w:sz w:val="24"/>
                <w:szCs w:val="24"/>
              </w:rPr>
            </w:pPr>
          </w:p>
        </w:tc>
      </w:tr>
      <w:tr w:rsidR="00B12103" w:rsidRPr="00854ED7" w14:paraId="5C589483" w14:textId="77777777" w:rsidTr="00854ED7">
        <w:tc>
          <w:tcPr>
            <w:tcW w:w="2544" w:type="dxa"/>
          </w:tcPr>
          <w:p w14:paraId="72E5ABE4" w14:textId="77777777" w:rsidR="00B12103" w:rsidRPr="00EF1512" w:rsidRDefault="00B12103" w:rsidP="00B12103">
            <w:pPr>
              <w:widowControl w:val="0"/>
              <w:ind w:right="135"/>
              <w:jc w:val="both"/>
              <w:rPr>
                <w:rFonts w:ascii="Times New Roman" w:hAnsi="Times New Roman" w:cs="Times New Roman"/>
                <w:b/>
                <w:sz w:val="24"/>
                <w:szCs w:val="24"/>
              </w:rPr>
            </w:pPr>
          </w:p>
        </w:tc>
        <w:tc>
          <w:tcPr>
            <w:tcW w:w="3575" w:type="dxa"/>
          </w:tcPr>
          <w:p w14:paraId="5A2F058D" w14:textId="77777777" w:rsidR="00B12103" w:rsidRPr="006A1932" w:rsidRDefault="00B12103" w:rsidP="00B12103">
            <w:pPr>
              <w:spacing w:before="120" w:after="120"/>
              <w:ind w:firstLine="36"/>
              <w:jc w:val="both"/>
              <w:rPr>
                <w:rFonts w:ascii="Times New Roman" w:hAnsi="Times New Roman"/>
                <w:bCs/>
                <w:sz w:val="28"/>
                <w:szCs w:val="28"/>
              </w:rPr>
            </w:pPr>
            <w:r w:rsidRPr="00EF1512">
              <w:rPr>
                <w:rFonts w:ascii="Times New Roman" w:hAnsi="Times New Roman" w:cs="Times New Roman"/>
              </w:rPr>
              <w:t xml:space="preserve">2. </w:t>
            </w:r>
            <w:r w:rsidRPr="00C30DC6">
              <w:rPr>
                <w:rFonts w:ascii="Times New Roman" w:hAnsi="Times New Roman"/>
                <w:bCs/>
                <w:sz w:val="24"/>
                <w:szCs w:val="24"/>
              </w:rPr>
              <w:t xml:space="preserve">Đối với quy định tại khoản 1 Điều 4 dự thảo, đề nghị Ban Quản lý Khu Công nghệ cao Thành phố rà soát, bổ sung thuyết minh rõ cơ sở pháp lý để quy định nội dung đề xuất quy định </w:t>
            </w:r>
            <w:r w:rsidRPr="00C30DC6">
              <w:rPr>
                <w:rFonts w:ascii="Times New Roman" w:hAnsi="Times New Roman"/>
                <w:b/>
                <w:bCs/>
                <w:i/>
                <w:sz w:val="24"/>
                <w:szCs w:val="24"/>
              </w:rPr>
              <w:t>“trong thời hạn 60 ngày để hoàn tất thủ tục</w:t>
            </w:r>
            <w:r w:rsidRPr="00C30DC6">
              <w:rPr>
                <w:rFonts w:ascii="Times New Roman" w:hAnsi="Times New Roman"/>
                <w:bCs/>
                <w:i/>
                <w:sz w:val="24"/>
                <w:szCs w:val="24"/>
              </w:rPr>
              <w:t>”</w:t>
            </w:r>
            <w:r w:rsidRPr="00C30DC6">
              <w:rPr>
                <w:rFonts w:ascii="Times New Roman" w:hAnsi="Times New Roman"/>
                <w:bCs/>
                <w:sz w:val="24"/>
                <w:szCs w:val="24"/>
              </w:rPr>
              <w:t xml:space="preserve"> tại khoản 1 Điều 4 dự thảo như ý kiến </w:t>
            </w:r>
            <w:r w:rsidRPr="00C30DC6">
              <w:rPr>
                <w:rFonts w:ascii="Times New Roman" w:hAnsi="Times New Roman"/>
                <w:bCs/>
                <w:sz w:val="24"/>
                <w:szCs w:val="24"/>
              </w:rPr>
              <w:lastRenderedPageBreak/>
              <w:t xml:space="preserve">Sở Tư pháp tại Công văn số </w:t>
            </w:r>
            <w:r w:rsidRPr="00C30DC6">
              <w:rPr>
                <w:rFonts w:ascii="Times New Roman" w:hAnsi="Times New Roman"/>
                <w:sz w:val="24"/>
                <w:szCs w:val="24"/>
              </w:rPr>
              <w:t>3767/STP-VB</w:t>
            </w:r>
            <w:r w:rsidRPr="006A1932">
              <w:rPr>
                <w:rFonts w:ascii="Times New Roman" w:hAnsi="Times New Roman"/>
                <w:bCs/>
                <w:sz w:val="28"/>
                <w:szCs w:val="28"/>
              </w:rPr>
              <w:t>.</w:t>
            </w:r>
          </w:p>
          <w:p w14:paraId="700047B4" w14:textId="7A0124C4" w:rsidR="00B12103" w:rsidRPr="00EF1512" w:rsidRDefault="00B12103" w:rsidP="00B12103">
            <w:pPr>
              <w:spacing w:before="120" w:after="120"/>
              <w:ind w:firstLine="36"/>
              <w:jc w:val="both"/>
              <w:rPr>
                <w:rFonts w:ascii="Times New Roman" w:hAnsi="Times New Roman" w:cs="Times New Roman"/>
              </w:rPr>
            </w:pPr>
          </w:p>
        </w:tc>
        <w:tc>
          <w:tcPr>
            <w:tcW w:w="2096" w:type="dxa"/>
          </w:tcPr>
          <w:p w14:paraId="55CBCA96" w14:textId="59EB231C" w:rsidR="00B12103" w:rsidRPr="00173FDB" w:rsidRDefault="00B12103" w:rsidP="00B12103">
            <w:pPr>
              <w:jc w:val="both"/>
              <w:rPr>
                <w:rFonts w:ascii="Times New Roman" w:hAnsi="Times New Roman" w:cs="Times New Roman"/>
                <w:sz w:val="24"/>
                <w:szCs w:val="24"/>
              </w:rPr>
            </w:pPr>
          </w:p>
        </w:tc>
        <w:tc>
          <w:tcPr>
            <w:tcW w:w="2096" w:type="dxa"/>
          </w:tcPr>
          <w:p w14:paraId="0627C2A0" w14:textId="77777777" w:rsidR="00B12103" w:rsidRPr="00854ED7" w:rsidRDefault="00B12103" w:rsidP="00B12103">
            <w:pPr>
              <w:jc w:val="both"/>
              <w:rPr>
                <w:rFonts w:ascii="Times New Roman" w:hAnsi="Times New Roman" w:cs="Times New Roman"/>
                <w:sz w:val="24"/>
                <w:szCs w:val="24"/>
              </w:rPr>
            </w:pPr>
          </w:p>
        </w:tc>
        <w:tc>
          <w:tcPr>
            <w:tcW w:w="2164" w:type="dxa"/>
            <w:vAlign w:val="center"/>
          </w:tcPr>
          <w:p w14:paraId="3E621757" w14:textId="77777777" w:rsidR="00B12103" w:rsidRPr="00854ED7" w:rsidRDefault="00B12103" w:rsidP="00B12103">
            <w:pPr>
              <w:spacing w:before="120"/>
              <w:jc w:val="both"/>
              <w:rPr>
                <w:rFonts w:ascii="Times New Roman" w:hAnsi="Times New Roman" w:cs="Times New Roman"/>
                <w:sz w:val="24"/>
                <w:szCs w:val="24"/>
              </w:rPr>
            </w:pPr>
          </w:p>
        </w:tc>
        <w:tc>
          <w:tcPr>
            <w:tcW w:w="2190" w:type="dxa"/>
          </w:tcPr>
          <w:p w14:paraId="54264CAE" w14:textId="0F55B335" w:rsidR="00B12103" w:rsidRPr="006B51DD" w:rsidRDefault="00B12103" w:rsidP="00B12103">
            <w:pPr>
              <w:jc w:val="both"/>
              <w:rPr>
                <w:rFonts w:ascii="Times New Roman" w:hAnsi="Times New Roman" w:cs="Times New Roman"/>
                <w:sz w:val="24"/>
                <w:szCs w:val="24"/>
              </w:rPr>
            </w:pPr>
          </w:p>
        </w:tc>
      </w:tr>
      <w:tr w:rsidR="00B12103" w:rsidRPr="00854ED7" w14:paraId="6FEB8D40" w14:textId="77777777" w:rsidTr="00173FDB">
        <w:tc>
          <w:tcPr>
            <w:tcW w:w="2544" w:type="dxa"/>
          </w:tcPr>
          <w:p w14:paraId="4DA2A48A" w14:textId="77777777" w:rsidR="00B12103" w:rsidRPr="00EF1512" w:rsidRDefault="00B12103" w:rsidP="00B12103">
            <w:pPr>
              <w:widowControl w:val="0"/>
              <w:ind w:right="135"/>
              <w:jc w:val="both"/>
              <w:rPr>
                <w:rFonts w:ascii="Times New Roman" w:hAnsi="Times New Roman" w:cs="Times New Roman"/>
                <w:b/>
                <w:sz w:val="24"/>
                <w:szCs w:val="24"/>
              </w:rPr>
            </w:pPr>
          </w:p>
        </w:tc>
        <w:tc>
          <w:tcPr>
            <w:tcW w:w="3575" w:type="dxa"/>
          </w:tcPr>
          <w:p w14:paraId="22C73715" w14:textId="77777777" w:rsidR="00B12103" w:rsidRPr="00C30DC6" w:rsidRDefault="00B12103" w:rsidP="00B12103">
            <w:pPr>
              <w:spacing w:before="120" w:after="120"/>
              <w:ind w:firstLine="36"/>
              <w:jc w:val="both"/>
              <w:rPr>
                <w:rFonts w:ascii="Times New Roman" w:hAnsi="Times New Roman"/>
                <w:bCs/>
                <w:sz w:val="24"/>
                <w:szCs w:val="24"/>
              </w:rPr>
            </w:pPr>
            <w:r w:rsidRPr="00EF1512">
              <w:rPr>
                <w:rFonts w:ascii="Times New Roman" w:hAnsi="Times New Roman" w:cs="Times New Roman"/>
              </w:rPr>
              <w:t xml:space="preserve">3. </w:t>
            </w:r>
            <w:r w:rsidRPr="00C30DC6">
              <w:rPr>
                <w:rFonts w:ascii="Times New Roman" w:hAnsi="Times New Roman"/>
                <w:bCs/>
                <w:sz w:val="24"/>
                <w:szCs w:val="24"/>
              </w:rPr>
              <w:t xml:space="preserve">Tại khoản 2 Điều 4 dự thảo quy định: </w:t>
            </w:r>
            <w:r w:rsidRPr="00C30DC6">
              <w:rPr>
                <w:rFonts w:ascii="Times New Roman" w:hAnsi="Times New Roman"/>
                <w:bCs/>
                <w:i/>
                <w:sz w:val="24"/>
                <w:szCs w:val="24"/>
              </w:rPr>
              <w:t>“2. Trường hợp người sử dụng đất đã thực hiện hoàn trả một phần hoặc toàn bộ kinh phí bồi thường, giải phóng mặt bằng vào ngân sách nhà nước trước ngày Nghị quyết này có hiệu lực thì không thực hiện hoàn trả hoặc thoái trả lại”.</w:t>
            </w:r>
            <w:r w:rsidRPr="00C30DC6">
              <w:rPr>
                <w:rFonts w:ascii="Times New Roman" w:hAnsi="Times New Roman"/>
                <w:bCs/>
                <w:sz w:val="24"/>
                <w:szCs w:val="24"/>
              </w:rPr>
              <w:t xml:space="preserve"> Đề nghị Ban Quản lý </w:t>
            </w:r>
            <w:r w:rsidRPr="00C30DC6">
              <w:rPr>
                <w:rFonts w:ascii="Times New Roman" w:hAnsi="Times New Roman"/>
                <w:bCs/>
                <w:iCs/>
                <w:sz w:val="24"/>
                <w:szCs w:val="24"/>
              </w:rPr>
              <w:t xml:space="preserve">Khu Công nghệ cao Thành phố xem xét lại sự cần thiết quy định nội dung này vì tại khoản 1 Điều 58 Luật Ban hành văn bản quy phạm pháp luật đã quy định về nguyên tắc áp dụng văn bản quy phạm pháp luật như sau: </w:t>
            </w:r>
            <w:r w:rsidRPr="00C30DC6">
              <w:rPr>
                <w:rFonts w:ascii="Times New Roman" w:hAnsi="Times New Roman"/>
                <w:bCs/>
                <w:i/>
                <w:iCs/>
                <w:sz w:val="24"/>
                <w:szCs w:val="24"/>
              </w:rPr>
              <w:t>“1. Văn bản quy phạm pháp luật được áp dụng từ thời điểm bắt đầu có hiệu lực”</w:t>
            </w:r>
            <w:r w:rsidRPr="00C30DC6">
              <w:rPr>
                <w:rFonts w:ascii="Times New Roman" w:hAnsi="Times New Roman"/>
                <w:bCs/>
                <w:iCs/>
                <w:sz w:val="24"/>
                <w:szCs w:val="24"/>
              </w:rPr>
              <w:t>.</w:t>
            </w:r>
          </w:p>
          <w:p w14:paraId="738F2B67" w14:textId="55FA3E3F" w:rsidR="00B12103" w:rsidRPr="00EF1512" w:rsidRDefault="00B12103" w:rsidP="00B12103">
            <w:pPr>
              <w:spacing w:before="120" w:after="120"/>
              <w:ind w:firstLine="36"/>
              <w:jc w:val="both"/>
              <w:rPr>
                <w:rFonts w:ascii="Times New Roman" w:hAnsi="Times New Roman" w:cs="Times New Roman"/>
              </w:rPr>
            </w:pPr>
          </w:p>
        </w:tc>
        <w:tc>
          <w:tcPr>
            <w:tcW w:w="2096" w:type="dxa"/>
          </w:tcPr>
          <w:p w14:paraId="5681167D" w14:textId="48B11976" w:rsidR="00B12103" w:rsidRPr="00173FDB" w:rsidRDefault="00B12103" w:rsidP="00B12103">
            <w:pPr>
              <w:jc w:val="both"/>
              <w:rPr>
                <w:rFonts w:ascii="Times New Roman" w:hAnsi="Times New Roman" w:cs="Times New Roman"/>
                <w:sz w:val="24"/>
                <w:szCs w:val="24"/>
              </w:rPr>
            </w:pPr>
            <w:r w:rsidRPr="00173FDB">
              <w:rPr>
                <w:rFonts w:ascii="Times New Roman" w:hAnsi="Times New Roman" w:cs="Times New Roman"/>
                <w:sz w:val="24"/>
                <w:szCs w:val="24"/>
              </w:rPr>
              <w:t>Ban Quản lý rà soát và đồng thuận với góp ý Sở Tư pháp bỏ khoản 2 Điều 4 tại dự thảo Nghị quyết vì đã có quy định tại khoản 1 Điều 58 Luật Ban hành văn bản.</w:t>
            </w:r>
          </w:p>
        </w:tc>
        <w:tc>
          <w:tcPr>
            <w:tcW w:w="2096" w:type="dxa"/>
          </w:tcPr>
          <w:p w14:paraId="31488DDB" w14:textId="77777777" w:rsidR="00B12103" w:rsidRPr="00854ED7" w:rsidRDefault="00B12103" w:rsidP="00B12103">
            <w:pPr>
              <w:jc w:val="both"/>
              <w:rPr>
                <w:rFonts w:ascii="Times New Roman" w:hAnsi="Times New Roman" w:cs="Times New Roman"/>
                <w:sz w:val="24"/>
                <w:szCs w:val="24"/>
              </w:rPr>
            </w:pPr>
          </w:p>
        </w:tc>
        <w:tc>
          <w:tcPr>
            <w:tcW w:w="2164" w:type="dxa"/>
          </w:tcPr>
          <w:p w14:paraId="4776D93C" w14:textId="6E755329" w:rsidR="00B12103" w:rsidRPr="00173FDB" w:rsidRDefault="00B12103" w:rsidP="00B12103">
            <w:pPr>
              <w:spacing w:before="120"/>
              <w:rPr>
                <w:rFonts w:ascii="Times New Roman" w:hAnsi="Times New Roman" w:cs="Times New Roman"/>
                <w:sz w:val="24"/>
                <w:szCs w:val="24"/>
              </w:rPr>
            </w:pPr>
            <w:r w:rsidRPr="00173FDB">
              <w:rPr>
                <w:rFonts w:ascii="Times New Roman" w:hAnsi="Times New Roman" w:cs="Times New Roman"/>
                <w:sz w:val="24"/>
                <w:szCs w:val="24"/>
              </w:rPr>
              <w:t>Ban Quản lý đã  điều chỉnh trong dự thảo Nghị Quyết</w:t>
            </w:r>
          </w:p>
        </w:tc>
        <w:tc>
          <w:tcPr>
            <w:tcW w:w="2190" w:type="dxa"/>
          </w:tcPr>
          <w:p w14:paraId="3578A1FF" w14:textId="77777777" w:rsidR="00B12103" w:rsidRPr="00854ED7" w:rsidRDefault="00B12103" w:rsidP="00B12103">
            <w:pPr>
              <w:jc w:val="both"/>
              <w:rPr>
                <w:rFonts w:ascii="Times New Roman" w:hAnsi="Times New Roman" w:cs="Times New Roman"/>
                <w:sz w:val="24"/>
                <w:szCs w:val="24"/>
              </w:rPr>
            </w:pPr>
          </w:p>
        </w:tc>
      </w:tr>
    </w:tbl>
    <w:p w14:paraId="67BC4132" w14:textId="77777777" w:rsidR="003D645C" w:rsidRDefault="003D645C" w:rsidP="00EF1512">
      <w:pPr>
        <w:jc w:val="both"/>
      </w:pPr>
    </w:p>
    <w:sectPr w:rsidR="003D645C" w:rsidSect="00854ED7">
      <w:headerReference w:type="default" r:id="rId7"/>
      <w:pgSz w:w="15840" w:h="12240" w:orient="landscape"/>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73AED" w14:textId="77777777" w:rsidR="00831DF4" w:rsidRDefault="00831DF4" w:rsidP="007C4819">
      <w:pPr>
        <w:spacing w:after="0" w:line="240" w:lineRule="auto"/>
      </w:pPr>
      <w:r>
        <w:separator/>
      </w:r>
    </w:p>
  </w:endnote>
  <w:endnote w:type="continuationSeparator" w:id="0">
    <w:p w14:paraId="6A37EB4E" w14:textId="77777777" w:rsidR="00831DF4" w:rsidRDefault="00831DF4" w:rsidP="007C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7B390" w14:textId="77777777" w:rsidR="00831DF4" w:rsidRDefault="00831DF4" w:rsidP="007C4819">
      <w:pPr>
        <w:spacing w:after="0" w:line="240" w:lineRule="auto"/>
      </w:pPr>
      <w:r>
        <w:separator/>
      </w:r>
    </w:p>
  </w:footnote>
  <w:footnote w:type="continuationSeparator" w:id="0">
    <w:p w14:paraId="2128AC65" w14:textId="77777777" w:rsidR="00831DF4" w:rsidRDefault="00831DF4" w:rsidP="007C4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76F0" w14:textId="361C2AB6" w:rsidR="007C4819" w:rsidRPr="007C4819" w:rsidRDefault="007C4819" w:rsidP="007C4819">
    <w:pPr>
      <w:pStyle w:val="Header"/>
      <w:jc w:val="center"/>
      <w:rPr>
        <w:rFonts w:ascii="Times New Roman" w:hAnsi="Times New Roman" w:cs="Times New Roman"/>
        <w:b/>
        <w:bCs/>
        <w:sz w:val="28"/>
        <w:szCs w:val="28"/>
        <w:lang w:val="en-US"/>
      </w:rPr>
    </w:pPr>
    <w:r w:rsidRPr="007C4819">
      <w:rPr>
        <w:rFonts w:ascii="Times New Roman" w:hAnsi="Times New Roman" w:cs="Times New Roman"/>
        <w:b/>
        <w:bCs/>
        <w:sz w:val="28"/>
        <w:szCs w:val="28"/>
        <w:lang w:val="en-US"/>
      </w:rPr>
      <w:t>BẢNG TỔNG HỢP GIẢI TRÌNH GÓP Ý CÁC ĐƠN VỊ LIÊN QUAN</w:t>
    </w:r>
  </w:p>
  <w:p w14:paraId="0BA5D85C" w14:textId="68B1C2D7" w:rsidR="007C4819" w:rsidRPr="007C4819" w:rsidRDefault="007C4819" w:rsidP="007C4819">
    <w:pPr>
      <w:pStyle w:val="Header"/>
      <w:jc w:val="center"/>
      <w:rPr>
        <w:rFonts w:ascii="Times New Roman" w:hAnsi="Times New Roman" w:cs="Times New Roman"/>
        <w:i/>
        <w:iCs/>
        <w:sz w:val="28"/>
        <w:szCs w:val="28"/>
        <w:lang w:val="en-US"/>
      </w:rPr>
    </w:pPr>
    <w:r w:rsidRPr="007C4819">
      <w:rPr>
        <w:rFonts w:ascii="Times New Roman" w:hAnsi="Times New Roman" w:cs="Times New Roman"/>
        <w:i/>
        <w:iCs/>
        <w:sz w:val="28"/>
        <w:szCs w:val="28"/>
        <w:lang w:val="en-US"/>
      </w:rPr>
      <w:t>(Căn cứ Công văn số 770/KCNC-TCT ngày 29/4/2026</w:t>
    </w:r>
    <w:r>
      <w:rPr>
        <w:rFonts w:ascii="Times New Roman" w:hAnsi="Times New Roman" w:cs="Times New Roman"/>
        <w:i/>
        <w:iCs/>
        <w:sz w:val="28"/>
        <w:szCs w:val="28"/>
        <w:lang w:val="en-US"/>
      </w:rPr>
      <w:t xml:space="preserve"> của Ban Quản lý</w:t>
    </w:r>
    <w:r w:rsidRPr="007C4819">
      <w:rPr>
        <w:rFonts w:ascii="Times New Roman" w:hAnsi="Times New Roman" w:cs="Times New Roman"/>
        <w:i/>
        <w:iCs/>
        <w:sz w:val="28"/>
        <w:szCs w:val="28"/>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C3F77"/>
    <w:multiLevelType w:val="hybridMultilevel"/>
    <w:tmpl w:val="AFBA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5C"/>
    <w:rsid w:val="00136FC4"/>
    <w:rsid w:val="0014464B"/>
    <w:rsid w:val="00173FDB"/>
    <w:rsid w:val="001D4DCB"/>
    <w:rsid w:val="002E0407"/>
    <w:rsid w:val="003D645C"/>
    <w:rsid w:val="0041170C"/>
    <w:rsid w:val="00467D87"/>
    <w:rsid w:val="00471F61"/>
    <w:rsid w:val="00565217"/>
    <w:rsid w:val="00695CB5"/>
    <w:rsid w:val="006B51DD"/>
    <w:rsid w:val="006D0AAA"/>
    <w:rsid w:val="007C4819"/>
    <w:rsid w:val="00831DF4"/>
    <w:rsid w:val="00854ED7"/>
    <w:rsid w:val="008D68EF"/>
    <w:rsid w:val="00A70914"/>
    <w:rsid w:val="00AE68E7"/>
    <w:rsid w:val="00B12103"/>
    <w:rsid w:val="00C30DC6"/>
    <w:rsid w:val="00D0172F"/>
    <w:rsid w:val="00D8746E"/>
    <w:rsid w:val="00D9729E"/>
    <w:rsid w:val="00E35CDE"/>
    <w:rsid w:val="00EA525E"/>
    <w:rsid w:val="00ED7BED"/>
    <w:rsid w:val="00EF1512"/>
    <w:rsid w:val="00FE44F4"/>
    <w:rsid w:val="00FF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7D3E"/>
  <w15:chartTrackingRefBased/>
  <w15:docId w15:val="{3AA107AE-FB54-47F3-B105-7BB31676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45C"/>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3D64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D64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D645C"/>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D645C"/>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D645C"/>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D645C"/>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D645C"/>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D645C"/>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D645C"/>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45C"/>
    <w:rPr>
      <w:rFonts w:eastAsiaTheme="majorEastAsia" w:cstheme="majorBidi"/>
      <w:color w:val="272727" w:themeColor="text1" w:themeTint="D8"/>
    </w:rPr>
  </w:style>
  <w:style w:type="paragraph" w:styleId="Title">
    <w:name w:val="Title"/>
    <w:basedOn w:val="Normal"/>
    <w:next w:val="Normal"/>
    <w:link w:val="TitleChar"/>
    <w:uiPriority w:val="10"/>
    <w:qFormat/>
    <w:rsid w:val="003D645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D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45C"/>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D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45C"/>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D645C"/>
    <w:rPr>
      <w:i/>
      <w:iCs/>
      <w:color w:val="404040" w:themeColor="text1" w:themeTint="BF"/>
    </w:rPr>
  </w:style>
  <w:style w:type="paragraph" w:styleId="ListParagraph">
    <w:name w:val="List Paragraph"/>
    <w:basedOn w:val="Normal"/>
    <w:uiPriority w:val="34"/>
    <w:qFormat/>
    <w:rsid w:val="003D645C"/>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D645C"/>
    <w:rPr>
      <w:i/>
      <w:iCs/>
      <w:color w:val="0F4761" w:themeColor="accent1" w:themeShade="BF"/>
    </w:rPr>
  </w:style>
  <w:style w:type="paragraph" w:styleId="IntenseQuote">
    <w:name w:val="Intense Quote"/>
    <w:basedOn w:val="Normal"/>
    <w:next w:val="Normal"/>
    <w:link w:val="IntenseQuoteChar"/>
    <w:uiPriority w:val="30"/>
    <w:qFormat/>
    <w:rsid w:val="003D645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D645C"/>
    <w:rPr>
      <w:i/>
      <w:iCs/>
      <w:color w:val="0F4761" w:themeColor="accent1" w:themeShade="BF"/>
    </w:rPr>
  </w:style>
  <w:style w:type="character" w:styleId="IntenseReference">
    <w:name w:val="Intense Reference"/>
    <w:basedOn w:val="DefaultParagraphFont"/>
    <w:uiPriority w:val="32"/>
    <w:qFormat/>
    <w:rsid w:val="003D645C"/>
    <w:rPr>
      <w:b/>
      <w:bCs/>
      <w:smallCaps/>
      <w:color w:val="0F4761" w:themeColor="accent1" w:themeShade="BF"/>
      <w:spacing w:val="5"/>
    </w:rPr>
  </w:style>
  <w:style w:type="table" w:styleId="TableGrid">
    <w:name w:val="Table Grid"/>
    <w:basedOn w:val="TableNormal"/>
    <w:uiPriority w:val="39"/>
    <w:rsid w:val="003D645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819"/>
    <w:rPr>
      <w:kern w:val="0"/>
      <w:sz w:val="22"/>
      <w:szCs w:val="22"/>
      <w:lang w:val="vi-VN"/>
      <w14:ligatures w14:val="none"/>
    </w:rPr>
  </w:style>
  <w:style w:type="paragraph" w:styleId="Footer">
    <w:name w:val="footer"/>
    <w:basedOn w:val="Normal"/>
    <w:link w:val="FooterChar"/>
    <w:uiPriority w:val="99"/>
    <w:unhideWhenUsed/>
    <w:rsid w:val="007C4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19"/>
    <w:rPr>
      <w:kern w:val="0"/>
      <w:sz w:val="22"/>
      <w:szCs w:val="22"/>
      <w:lang w:val="vi-VN"/>
      <w14:ligatures w14:val="none"/>
    </w:rPr>
  </w:style>
  <w:style w:type="paragraph" w:styleId="BalloonText">
    <w:name w:val="Balloon Text"/>
    <w:basedOn w:val="Normal"/>
    <w:link w:val="BalloonTextChar"/>
    <w:uiPriority w:val="99"/>
    <w:semiHidden/>
    <w:unhideWhenUsed/>
    <w:rsid w:val="00854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ED7"/>
    <w:rPr>
      <w:rFonts w:ascii="Segoe UI" w:hAnsi="Segoe UI" w:cs="Segoe UI"/>
      <w:kern w:val="0"/>
      <w:sz w:val="18"/>
      <w:szCs w:val="1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MyPC</cp:lastModifiedBy>
  <cp:revision>4</cp:revision>
  <cp:lastPrinted>2026-05-11T06:02:00Z</cp:lastPrinted>
  <dcterms:created xsi:type="dcterms:W3CDTF">2026-05-26T01:00:00Z</dcterms:created>
  <dcterms:modified xsi:type="dcterms:W3CDTF">2026-05-26T01:02:00Z</dcterms:modified>
</cp:coreProperties>
</file>